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E12C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XYZ Bank</w:t>
      </w:r>
    </w:p>
    <w:p w14:paraId="392D1FB0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Risk Appetite Statement</w:t>
      </w:r>
    </w:p>
    <w:p w14:paraId="13258073" w14:textId="77777777" w:rsidR="00302AFB" w:rsidRPr="00302AFB" w:rsidRDefault="00302AFB" w:rsidP="00302AFB">
      <w:r w:rsidRPr="00302AFB">
        <w:pict w14:anchorId="6395563C">
          <v:rect id="_x0000_i1151" style="width:0;height:1.5pt" o:hralign="center" o:hrstd="t" o:hr="t" fillcolor="#a0a0a0" stroked="f"/>
        </w:pict>
      </w:r>
    </w:p>
    <w:p w14:paraId="20BD89A1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1. Purpose</w:t>
      </w:r>
    </w:p>
    <w:p w14:paraId="2255B4C4" w14:textId="77777777" w:rsidR="00302AFB" w:rsidRPr="00302AFB" w:rsidRDefault="00302AFB" w:rsidP="00302AFB">
      <w:r w:rsidRPr="00302AFB">
        <w:t>This Risk Appetite Statement (“RAS”) sets out the nature and level of risk that XYZ Bank (“the Bank”) is willing to accept in pursuit of its strategic objectives.</w:t>
      </w:r>
    </w:p>
    <w:p w14:paraId="4D047D6C" w14:textId="77777777" w:rsidR="00302AFB" w:rsidRPr="00302AFB" w:rsidRDefault="00302AFB" w:rsidP="00302AFB">
      <w:r w:rsidRPr="00302AFB">
        <w:t>The purpose of this Statement is to:</w:t>
      </w:r>
    </w:p>
    <w:p w14:paraId="404C773E" w14:textId="77777777" w:rsidR="00302AFB" w:rsidRPr="00302AFB" w:rsidRDefault="00302AFB" w:rsidP="00302AFB">
      <w:pPr>
        <w:numPr>
          <w:ilvl w:val="0"/>
          <w:numId w:val="1"/>
        </w:numPr>
      </w:pPr>
      <w:r w:rsidRPr="00302AFB">
        <w:t>support sound decision-making across the Bank;</w:t>
      </w:r>
    </w:p>
    <w:p w14:paraId="50876BA6" w14:textId="77777777" w:rsidR="00302AFB" w:rsidRPr="00302AFB" w:rsidRDefault="00302AFB" w:rsidP="00302AFB">
      <w:pPr>
        <w:numPr>
          <w:ilvl w:val="0"/>
          <w:numId w:val="1"/>
        </w:numPr>
      </w:pPr>
      <w:r w:rsidRPr="00302AFB">
        <w:t>align risk-taking with the Bank’s strategy, values and business model;</w:t>
      </w:r>
    </w:p>
    <w:p w14:paraId="7639AF3F" w14:textId="77777777" w:rsidR="00302AFB" w:rsidRPr="00302AFB" w:rsidRDefault="00302AFB" w:rsidP="00302AFB">
      <w:pPr>
        <w:numPr>
          <w:ilvl w:val="0"/>
          <w:numId w:val="1"/>
        </w:numPr>
      </w:pPr>
      <w:r w:rsidRPr="00302AFB">
        <w:t>support the protection of customers, depositors and shareholders;</w:t>
      </w:r>
    </w:p>
    <w:p w14:paraId="1E04EBF7" w14:textId="77777777" w:rsidR="00302AFB" w:rsidRPr="00302AFB" w:rsidRDefault="00302AFB" w:rsidP="00302AFB">
      <w:pPr>
        <w:numPr>
          <w:ilvl w:val="0"/>
          <w:numId w:val="1"/>
        </w:numPr>
      </w:pPr>
      <w:r w:rsidRPr="00302AFB">
        <w:t>maintain the safety and soundness of the Bank;</w:t>
      </w:r>
    </w:p>
    <w:p w14:paraId="3DDD21BF" w14:textId="77777777" w:rsidR="00302AFB" w:rsidRPr="00302AFB" w:rsidRDefault="00302AFB" w:rsidP="00302AFB">
      <w:pPr>
        <w:numPr>
          <w:ilvl w:val="0"/>
          <w:numId w:val="1"/>
        </w:numPr>
      </w:pPr>
      <w:r w:rsidRPr="00302AFB">
        <w:t>support compliance with legal and regulatory obligations; and</w:t>
      </w:r>
    </w:p>
    <w:p w14:paraId="67646D02" w14:textId="77777777" w:rsidR="00302AFB" w:rsidRPr="00302AFB" w:rsidRDefault="00302AFB" w:rsidP="00302AFB">
      <w:pPr>
        <w:numPr>
          <w:ilvl w:val="0"/>
          <w:numId w:val="1"/>
        </w:numPr>
      </w:pPr>
      <w:r w:rsidRPr="00302AFB">
        <w:t>provide a framework for governance, escalation and oversight of material risks.</w:t>
      </w:r>
    </w:p>
    <w:p w14:paraId="12B6D0A7" w14:textId="77777777" w:rsidR="00302AFB" w:rsidRPr="00302AFB" w:rsidRDefault="00302AFB" w:rsidP="00302AFB">
      <w:r w:rsidRPr="00302AFB">
        <w:t>This Statement forms a key component of the Bank’s overall Risk Management Framework.</w:t>
      </w:r>
    </w:p>
    <w:p w14:paraId="0A6F51DD" w14:textId="77777777" w:rsidR="00302AFB" w:rsidRPr="00302AFB" w:rsidRDefault="00302AFB" w:rsidP="00302AFB">
      <w:r w:rsidRPr="00302AFB">
        <w:pict w14:anchorId="731A2345">
          <v:rect id="_x0000_i1152" style="width:0;height:1.5pt" o:hralign="center" o:hrstd="t" o:hr="t" fillcolor="#a0a0a0" stroked="f"/>
        </w:pict>
      </w:r>
    </w:p>
    <w:p w14:paraId="6BA451CA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2. Risk Appetite Philosophy</w:t>
      </w:r>
    </w:p>
    <w:p w14:paraId="19E2AFAA" w14:textId="77777777" w:rsidR="00302AFB" w:rsidRPr="00302AFB" w:rsidRDefault="00302AFB" w:rsidP="00302AFB">
      <w:r w:rsidRPr="00302AFB">
        <w:t>The Bank maintains a conservative to moderate risk appetite consistent with its business model as a UK retail bank focused on sustainable growth and long-term customer relationships.</w:t>
      </w:r>
    </w:p>
    <w:p w14:paraId="2879DB36" w14:textId="77777777" w:rsidR="00302AFB" w:rsidRPr="00302AFB" w:rsidRDefault="00302AFB" w:rsidP="00302AFB">
      <w:r w:rsidRPr="00302AFB">
        <w:t>The Bank seeks to:</w:t>
      </w:r>
    </w:p>
    <w:p w14:paraId="65DB60E9" w14:textId="77777777" w:rsidR="00302AFB" w:rsidRPr="00302AFB" w:rsidRDefault="00302AFB" w:rsidP="00302AFB">
      <w:pPr>
        <w:numPr>
          <w:ilvl w:val="0"/>
          <w:numId w:val="2"/>
        </w:numPr>
      </w:pPr>
      <w:r w:rsidRPr="00302AFB">
        <w:t>generate sustainable and resilient earnings;</w:t>
      </w:r>
    </w:p>
    <w:p w14:paraId="2C21B0A0" w14:textId="77777777" w:rsidR="00302AFB" w:rsidRPr="00302AFB" w:rsidRDefault="00302AFB" w:rsidP="00302AFB">
      <w:pPr>
        <w:numPr>
          <w:ilvl w:val="0"/>
          <w:numId w:val="2"/>
        </w:numPr>
      </w:pPr>
      <w:r w:rsidRPr="00302AFB">
        <w:t>maintain strong capital and liquidity positions;</w:t>
      </w:r>
    </w:p>
    <w:p w14:paraId="2381A5C5" w14:textId="77777777" w:rsidR="00302AFB" w:rsidRPr="00302AFB" w:rsidRDefault="00302AFB" w:rsidP="00302AFB">
      <w:pPr>
        <w:numPr>
          <w:ilvl w:val="0"/>
          <w:numId w:val="2"/>
        </w:numPr>
      </w:pPr>
      <w:r w:rsidRPr="00302AFB">
        <w:t>protect customer trust and confidence;</w:t>
      </w:r>
    </w:p>
    <w:p w14:paraId="3FC14085" w14:textId="77777777" w:rsidR="00302AFB" w:rsidRPr="00302AFB" w:rsidRDefault="00302AFB" w:rsidP="00302AFB">
      <w:pPr>
        <w:numPr>
          <w:ilvl w:val="0"/>
          <w:numId w:val="2"/>
        </w:numPr>
      </w:pPr>
      <w:r w:rsidRPr="00302AFB">
        <w:t>avoid undue complexity;</w:t>
      </w:r>
    </w:p>
    <w:p w14:paraId="73D512DE" w14:textId="77777777" w:rsidR="00302AFB" w:rsidRPr="00302AFB" w:rsidRDefault="00302AFB" w:rsidP="00302AFB">
      <w:pPr>
        <w:numPr>
          <w:ilvl w:val="0"/>
          <w:numId w:val="2"/>
        </w:numPr>
      </w:pPr>
      <w:r w:rsidRPr="00302AFB">
        <w:t>maintain prudent underwriting standards; and</w:t>
      </w:r>
    </w:p>
    <w:p w14:paraId="5041C5B5" w14:textId="77777777" w:rsidR="00302AFB" w:rsidRPr="00302AFB" w:rsidRDefault="00302AFB" w:rsidP="00302AFB">
      <w:pPr>
        <w:numPr>
          <w:ilvl w:val="0"/>
          <w:numId w:val="2"/>
        </w:numPr>
      </w:pPr>
      <w:r w:rsidRPr="00302AFB">
        <w:t>operate within a controlled and well-governed risk environment.</w:t>
      </w:r>
    </w:p>
    <w:p w14:paraId="064AA2B9" w14:textId="77777777" w:rsidR="00302AFB" w:rsidRPr="00302AFB" w:rsidRDefault="00302AFB" w:rsidP="00302AFB">
      <w:r w:rsidRPr="00302AFB">
        <w:t>The Bank has:</w:t>
      </w:r>
    </w:p>
    <w:p w14:paraId="7851513F" w14:textId="77777777" w:rsidR="00302AFB" w:rsidRPr="00302AFB" w:rsidRDefault="00302AFB" w:rsidP="00302AFB">
      <w:pPr>
        <w:numPr>
          <w:ilvl w:val="0"/>
          <w:numId w:val="3"/>
        </w:numPr>
      </w:pPr>
      <w:r w:rsidRPr="00302AFB">
        <w:t>low appetite for conduct failures and customer harm;</w:t>
      </w:r>
    </w:p>
    <w:p w14:paraId="62A6C702" w14:textId="77777777" w:rsidR="00302AFB" w:rsidRPr="00302AFB" w:rsidRDefault="00302AFB" w:rsidP="00302AFB">
      <w:pPr>
        <w:numPr>
          <w:ilvl w:val="0"/>
          <w:numId w:val="3"/>
        </w:numPr>
      </w:pPr>
      <w:r w:rsidRPr="00302AFB">
        <w:lastRenderedPageBreak/>
        <w:t>low appetite for material operational disruption;</w:t>
      </w:r>
    </w:p>
    <w:p w14:paraId="332D91F0" w14:textId="77777777" w:rsidR="00302AFB" w:rsidRPr="00302AFB" w:rsidRDefault="00302AFB" w:rsidP="00302AFB">
      <w:pPr>
        <w:numPr>
          <w:ilvl w:val="0"/>
          <w:numId w:val="3"/>
        </w:numPr>
      </w:pPr>
      <w:r w:rsidRPr="00302AFB">
        <w:t>low appetite for regulatory breaches;</w:t>
      </w:r>
    </w:p>
    <w:p w14:paraId="7644617A" w14:textId="77777777" w:rsidR="00302AFB" w:rsidRPr="00302AFB" w:rsidRDefault="00302AFB" w:rsidP="00302AFB">
      <w:pPr>
        <w:numPr>
          <w:ilvl w:val="0"/>
          <w:numId w:val="3"/>
        </w:numPr>
      </w:pPr>
      <w:r w:rsidRPr="00302AFB">
        <w:t>low appetite for financial crime exposure; and</w:t>
      </w:r>
    </w:p>
    <w:p w14:paraId="385C757D" w14:textId="77777777" w:rsidR="00302AFB" w:rsidRPr="00302AFB" w:rsidRDefault="00302AFB" w:rsidP="00302AFB">
      <w:pPr>
        <w:numPr>
          <w:ilvl w:val="0"/>
          <w:numId w:val="3"/>
        </w:numPr>
      </w:pPr>
      <w:r w:rsidRPr="00302AFB">
        <w:t>limited appetite for activities outside its core retail banking expertise.</w:t>
      </w:r>
    </w:p>
    <w:p w14:paraId="4E14131A" w14:textId="77777777" w:rsidR="00302AFB" w:rsidRPr="00302AFB" w:rsidRDefault="00302AFB" w:rsidP="00302AFB">
      <w:r w:rsidRPr="00302AFB">
        <w:t>The Bank recognises that prudent risk-taking is necessary to support commercial objectives and customer service; however, risks should be appropriately understood, governed and managed.</w:t>
      </w:r>
    </w:p>
    <w:p w14:paraId="732DAC5A" w14:textId="77777777" w:rsidR="00302AFB" w:rsidRPr="00302AFB" w:rsidRDefault="00302AFB" w:rsidP="00302AFB">
      <w:r w:rsidRPr="00302AFB">
        <w:pict w14:anchorId="4CC80859">
          <v:rect id="_x0000_i1153" style="width:0;height:1.5pt" o:hralign="center" o:hrstd="t" o:hr="t" fillcolor="#a0a0a0" stroked="f"/>
        </w:pict>
      </w:r>
    </w:p>
    <w:p w14:paraId="3A39E5B7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3. Strategic Alignment</w:t>
      </w:r>
    </w:p>
    <w:p w14:paraId="5A2E8268" w14:textId="77777777" w:rsidR="00302AFB" w:rsidRPr="00302AFB" w:rsidRDefault="00302AFB" w:rsidP="00302AFB">
      <w:r w:rsidRPr="00302AFB">
        <w:t>The Bank’s strategy is focused on:</w:t>
      </w:r>
    </w:p>
    <w:p w14:paraId="454DC352" w14:textId="77777777" w:rsidR="00302AFB" w:rsidRPr="00302AFB" w:rsidRDefault="00302AFB" w:rsidP="00302AFB">
      <w:pPr>
        <w:numPr>
          <w:ilvl w:val="0"/>
          <w:numId w:val="4"/>
        </w:numPr>
      </w:pPr>
      <w:r w:rsidRPr="00302AFB">
        <w:t>providing retail banking products and services to UK customers;</w:t>
      </w:r>
    </w:p>
    <w:p w14:paraId="534AFE13" w14:textId="77777777" w:rsidR="00302AFB" w:rsidRPr="00302AFB" w:rsidRDefault="00302AFB" w:rsidP="00302AFB">
      <w:pPr>
        <w:numPr>
          <w:ilvl w:val="0"/>
          <w:numId w:val="4"/>
        </w:numPr>
      </w:pPr>
      <w:r w:rsidRPr="00302AFB">
        <w:t>maintaining a simple and understandable business model;</w:t>
      </w:r>
    </w:p>
    <w:p w14:paraId="7F01FE35" w14:textId="77777777" w:rsidR="00302AFB" w:rsidRPr="00302AFB" w:rsidRDefault="00302AFB" w:rsidP="00302AFB">
      <w:pPr>
        <w:numPr>
          <w:ilvl w:val="0"/>
          <w:numId w:val="4"/>
        </w:numPr>
      </w:pPr>
      <w:r w:rsidRPr="00302AFB">
        <w:t>delivering sustainable profitability;</w:t>
      </w:r>
    </w:p>
    <w:p w14:paraId="0A823942" w14:textId="77777777" w:rsidR="00302AFB" w:rsidRPr="00302AFB" w:rsidRDefault="00302AFB" w:rsidP="00302AFB">
      <w:pPr>
        <w:numPr>
          <w:ilvl w:val="0"/>
          <w:numId w:val="4"/>
        </w:numPr>
      </w:pPr>
      <w:r w:rsidRPr="00302AFB">
        <w:t>investing in digital capability and customer service; and</w:t>
      </w:r>
    </w:p>
    <w:p w14:paraId="40DB5226" w14:textId="77777777" w:rsidR="00302AFB" w:rsidRPr="00302AFB" w:rsidRDefault="00302AFB" w:rsidP="00302AFB">
      <w:pPr>
        <w:numPr>
          <w:ilvl w:val="0"/>
          <w:numId w:val="4"/>
        </w:numPr>
      </w:pPr>
      <w:r w:rsidRPr="00302AFB">
        <w:t>maintaining strong customer trust and regulatory credibility.</w:t>
      </w:r>
    </w:p>
    <w:p w14:paraId="38EB45FC" w14:textId="77777777" w:rsidR="00302AFB" w:rsidRPr="00302AFB" w:rsidRDefault="00302AFB" w:rsidP="00302AFB">
      <w:r w:rsidRPr="00302AFB">
        <w:t>The Bank has no strategic intention to engage in:</w:t>
      </w:r>
    </w:p>
    <w:p w14:paraId="34E8A7A5" w14:textId="77777777" w:rsidR="00302AFB" w:rsidRPr="00302AFB" w:rsidRDefault="00302AFB" w:rsidP="00302AFB">
      <w:pPr>
        <w:numPr>
          <w:ilvl w:val="0"/>
          <w:numId w:val="5"/>
        </w:numPr>
      </w:pPr>
      <w:r w:rsidRPr="00302AFB">
        <w:t>proprietary trading activities;</w:t>
      </w:r>
    </w:p>
    <w:p w14:paraId="5C742946" w14:textId="77777777" w:rsidR="00302AFB" w:rsidRPr="00302AFB" w:rsidRDefault="00302AFB" w:rsidP="00302AFB">
      <w:pPr>
        <w:numPr>
          <w:ilvl w:val="0"/>
          <w:numId w:val="5"/>
        </w:numPr>
      </w:pPr>
      <w:r w:rsidRPr="00302AFB">
        <w:t>speculative investment activity;</w:t>
      </w:r>
    </w:p>
    <w:p w14:paraId="6F605571" w14:textId="77777777" w:rsidR="00302AFB" w:rsidRPr="00302AFB" w:rsidRDefault="00302AFB" w:rsidP="00302AFB">
      <w:pPr>
        <w:numPr>
          <w:ilvl w:val="0"/>
          <w:numId w:val="5"/>
        </w:numPr>
      </w:pPr>
      <w:r w:rsidRPr="00302AFB">
        <w:t>highly complex structured products;</w:t>
      </w:r>
    </w:p>
    <w:p w14:paraId="5DBAC949" w14:textId="77777777" w:rsidR="00302AFB" w:rsidRPr="00302AFB" w:rsidRDefault="00302AFB" w:rsidP="00302AFB">
      <w:pPr>
        <w:numPr>
          <w:ilvl w:val="0"/>
          <w:numId w:val="5"/>
        </w:numPr>
      </w:pPr>
      <w:r w:rsidRPr="00302AFB">
        <w:t>high-risk international expansion; or</w:t>
      </w:r>
    </w:p>
    <w:p w14:paraId="61C8CB76" w14:textId="77777777" w:rsidR="00302AFB" w:rsidRPr="00302AFB" w:rsidRDefault="00302AFB" w:rsidP="00302AFB">
      <w:pPr>
        <w:numPr>
          <w:ilvl w:val="0"/>
          <w:numId w:val="5"/>
        </w:numPr>
      </w:pPr>
      <w:r w:rsidRPr="00302AFB">
        <w:t>business activities outside its core competencies without enhanced governance and Board approval.</w:t>
      </w:r>
    </w:p>
    <w:p w14:paraId="6F3254D1" w14:textId="77777777" w:rsidR="00302AFB" w:rsidRPr="00302AFB" w:rsidRDefault="00302AFB" w:rsidP="00302AFB">
      <w:r w:rsidRPr="00302AFB">
        <w:pict w14:anchorId="30F528F5">
          <v:rect id="_x0000_i1154" style="width:0;height:1.5pt" o:hralign="center" o:hrstd="t" o:hr="t" fillcolor="#a0a0a0" stroked="f"/>
        </w:pict>
      </w:r>
    </w:p>
    <w:p w14:paraId="78ECC5CA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4. Governance and Oversight</w:t>
      </w:r>
    </w:p>
    <w:p w14:paraId="2E6CDDEE" w14:textId="77777777" w:rsidR="00302AFB" w:rsidRPr="00302AFB" w:rsidRDefault="00302AFB" w:rsidP="00302AFB">
      <w:r w:rsidRPr="00302AFB">
        <w:t>The Board is responsible for approving the Risk Appetite Statement and overseeing adherence to the Bank’s risk appetite.</w:t>
      </w:r>
    </w:p>
    <w:p w14:paraId="218ABD91" w14:textId="77777777" w:rsidR="00302AFB" w:rsidRPr="00302AFB" w:rsidRDefault="00302AFB" w:rsidP="00302AFB">
      <w:r w:rsidRPr="00302AFB">
        <w:t>The Board Risk Committee is responsible for:</w:t>
      </w:r>
    </w:p>
    <w:p w14:paraId="62972FCD" w14:textId="77777777" w:rsidR="00302AFB" w:rsidRPr="00302AFB" w:rsidRDefault="00302AFB" w:rsidP="00302AFB">
      <w:pPr>
        <w:numPr>
          <w:ilvl w:val="0"/>
          <w:numId w:val="6"/>
        </w:numPr>
      </w:pPr>
      <w:r w:rsidRPr="00302AFB">
        <w:t>overseeing risk appetite monitoring;</w:t>
      </w:r>
    </w:p>
    <w:p w14:paraId="5D11BA4A" w14:textId="77777777" w:rsidR="00302AFB" w:rsidRPr="00302AFB" w:rsidRDefault="00302AFB" w:rsidP="00302AFB">
      <w:pPr>
        <w:numPr>
          <w:ilvl w:val="0"/>
          <w:numId w:val="6"/>
        </w:numPr>
      </w:pPr>
      <w:r w:rsidRPr="00302AFB">
        <w:t>reviewing material breaches or emerging concerns;</w:t>
      </w:r>
    </w:p>
    <w:p w14:paraId="0C249B87" w14:textId="77777777" w:rsidR="00302AFB" w:rsidRPr="00302AFB" w:rsidRDefault="00302AFB" w:rsidP="00302AFB">
      <w:pPr>
        <w:numPr>
          <w:ilvl w:val="0"/>
          <w:numId w:val="6"/>
        </w:numPr>
      </w:pPr>
      <w:r w:rsidRPr="00302AFB">
        <w:lastRenderedPageBreak/>
        <w:t>challenging management actions where appropriate; and</w:t>
      </w:r>
    </w:p>
    <w:p w14:paraId="736F3A12" w14:textId="77777777" w:rsidR="00302AFB" w:rsidRPr="00302AFB" w:rsidRDefault="00302AFB" w:rsidP="00302AFB">
      <w:pPr>
        <w:numPr>
          <w:ilvl w:val="0"/>
          <w:numId w:val="6"/>
        </w:numPr>
      </w:pPr>
      <w:r w:rsidRPr="00302AFB">
        <w:t>recommending amendments to the RAS.</w:t>
      </w:r>
    </w:p>
    <w:p w14:paraId="0D13AEF1" w14:textId="77777777" w:rsidR="00302AFB" w:rsidRPr="00302AFB" w:rsidRDefault="00302AFB" w:rsidP="00302AFB">
      <w:r w:rsidRPr="00302AFB">
        <w:t>Executive Management is responsible for:</w:t>
      </w:r>
    </w:p>
    <w:p w14:paraId="472B0454" w14:textId="77777777" w:rsidR="00302AFB" w:rsidRPr="00302AFB" w:rsidRDefault="00302AFB" w:rsidP="00302AFB">
      <w:pPr>
        <w:numPr>
          <w:ilvl w:val="0"/>
          <w:numId w:val="7"/>
        </w:numPr>
      </w:pPr>
      <w:r w:rsidRPr="00302AFB">
        <w:t>operating within approved risk appetite;</w:t>
      </w:r>
    </w:p>
    <w:p w14:paraId="5851EDDF" w14:textId="77777777" w:rsidR="00302AFB" w:rsidRPr="00302AFB" w:rsidRDefault="00302AFB" w:rsidP="00302AFB">
      <w:pPr>
        <w:numPr>
          <w:ilvl w:val="0"/>
          <w:numId w:val="7"/>
        </w:numPr>
      </w:pPr>
      <w:r w:rsidRPr="00302AFB">
        <w:t>implementing appropriate controls and monitoring;</w:t>
      </w:r>
    </w:p>
    <w:p w14:paraId="5A1F584E" w14:textId="77777777" w:rsidR="00302AFB" w:rsidRPr="00302AFB" w:rsidRDefault="00302AFB" w:rsidP="00302AFB">
      <w:pPr>
        <w:numPr>
          <w:ilvl w:val="0"/>
          <w:numId w:val="7"/>
        </w:numPr>
      </w:pPr>
      <w:r w:rsidRPr="00302AFB">
        <w:t>escalating material breaches or emerging risks; and</w:t>
      </w:r>
    </w:p>
    <w:p w14:paraId="7F8B8F6F" w14:textId="77777777" w:rsidR="00302AFB" w:rsidRPr="00302AFB" w:rsidRDefault="00302AFB" w:rsidP="00302AFB">
      <w:pPr>
        <w:numPr>
          <w:ilvl w:val="0"/>
          <w:numId w:val="7"/>
        </w:numPr>
      </w:pPr>
      <w:r w:rsidRPr="00302AFB">
        <w:t>embedding risk considerations within decision-making.</w:t>
      </w:r>
    </w:p>
    <w:p w14:paraId="280A9321" w14:textId="77777777" w:rsidR="00302AFB" w:rsidRPr="00302AFB" w:rsidRDefault="00302AFB" w:rsidP="00302AFB">
      <w:r w:rsidRPr="00302AFB">
        <w:t>Risk appetite metrics and indicators will be monitored regularly and reported through the Bank’s governance framework.</w:t>
      </w:r>
    </w:p>
    <w:p w14:paraId="38BB31EE" w14:textId="77777777" w:rsidR="00302AFB" w:rsidRPr="00302AFB" w:rsidRDefault="00302AFB" w:rsidP="00302AFB">
      <w:r w:rsidRPr="00302AFB">
        <w:pict w14:anchorId="483104B0">
          <v:rect id="_x0000_i1155" style="width:0;height:1.5pt" o:hralign="center" o:hrstd="t" o:hr="t" fillcolor="#a0a0a0" stroked="f"/>
        </w:pict>
      </w:r>
    </w:p>
    <w:p w14:paraId="0077423E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5. Risk Capacity and Risk Appetite</w:t>
      </w:r>
    </w:p>
    <w:p w14:paraId="7A3502A3" w14:textId="77777777" w:rsidR="00302AFB" w:rsidRPr="00302AFB" w:rsidRDefault="00302AFB" w:rsidP="00302AFB">
      <w:r w:rsidRPr="00302AFB">
        <w:t>The Bank distinguishes between:</w:t>
      </w:r>
    </w:p>
    <w:p w14:paraId="5EB3174F" w14:textId="77777777" w:rsidR="00302AFB" w:rsidRPr="00302AFB" w:rsidRDefault="00302AFB" w:rsidP="00302AFB">
      <w:pPr>
        <w:numPr>
          <w:ilvl w:val="0"/>
          <w:numId w:val="8"/>
        </w:numPr>
      </w:pPr>
      <w:r w:rsidRPr="00302AFB">
        <w:t xml:space="preserve">risk capacity, </w:t>
      </w:r>
      <w:proofErr w:type="gramStart"/>
      <w:r w:rsidRPr="00302AFB">
        <w:t>being the maximum level of risk</w:t>
      </w:r>
      <w:proofErr w:type="gramEnd"/>
      <w:r w:rsidRPr="00302AFB">
        <w:t xml:space="preserve"> the Bank could absorb before breaching regulatory or viability constraints; and</w:t>
      </w:r>
    </w:p>
    <w:p w14:paraId="17920CE4" w14:textId="77777777" w:rsidR="00302AFB" w:rsidRPr="00302AFB" w:rsidRDefault="00302AFB" w:rsidP="00302AFB">
      <w:pPr>
        <w:numPr>
          <w:ilvl w:val="0"/>
          <w:numId w:val="8"/>
        </w:numPr>
      </w:pPr>
      <w:r w:rsidRPr="00302AFB">
        <w:t xml:space="preserve">risk appetite, </w:t>
      </w:r>
      <w:proofErr w:type="gramStart"/>
      <w:r w:rsidRPr="00302AFB">
        <w:t>being the level of risk</w:t>
      </w:r>
      <w:proofErr w:type="gramEnd"/>
      <w:r w:rsidRPr="00302AFB">
        <w:t xml:space="preserve"> the Bank is willing to accept in pursuit of its objectives.</w:t>
      </w:r>
    </w:p>
    <w:p w14:paraId="59053C7A" w14:textId="77777777" w:rsidR="00302AFB" w:rsidRPr="00302AFB" w:rsidRDefault="00302AFB" w:rsidP="00302AFB">
      <w:r w:rsidRPr="00302AFB">
        <w:t>The Bank seeks to operate materially within its risk capacity and maintain prudent management buffers where appropriate.</w:t>
      </w:r>
    </w:p>
    <w:p w14:paraId="38EDF042" w14:textId="77777777" w:rsidR="00302AFB" w:rsidRPr="00302AFB" w:rsidRDefault="00302AFB" w:rsidP="00302AFB">
      <w:r w:rsidRPr="00302AFB">
        <w:pict w14:anchorId="1B8DAAEF">
          <v:rect id="_x0000_i1156" style="width:0;height:1.5pt" o:hralign="center" o:hrstd="t" o:hr="t" fillcolor="#a0a0a0" stroked="f"/>
        </w:pict>
      </w:r>
    </w:p>
    <w:p w14:paraId="1B26E8F3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 Risk Appetite by Risk Category</w:t>
      </w:r>
    </w:p>
    <w:p w14:paraId="3EC36501" w14:textId="77777777" w:rsidR="00302AFB" w:rsidRPr="00302AFB" w:rsidRDefault="00302AFB" w:rsidP="00302AFB">
      <w:r w:rsidRPr="00302AFB">
        <w:pict w14:anchorId="24E341E2">
          <v:rect id="_x0000_i1157" style="width:0;height:1.5pt" o:hralign="center" o:hrstd="t" o:hr="t" fillcolor="#a0a0a0" stroked="f"/>
        </w:pict>
      </w:r>
    </w:p>
    <w:p w14:paraId="6906B014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6.1 Credit Risk</w:t>
      </w:r>
    </w:p>
    <w:p w14:paraId="409DCB81" w14:textId="77777777" w:rsidR="00302AFB" w:rsidRPr="00302AFB" w:rsidRDefault="00302AFB" w:rsidP="00302AFB">
      <w:r w:rsidRPr="00302AFB">
        <w:t>The Bank has a moderate appetite for retail credit risk within clearly defined underwriting standards and portfolio limits.</w:t>
      </w:r>
    </w:p>
    <w:p w14:paraId="0094DE59" w14:textId="77777777" w:rsidR="00302AFB" w:rsidRPr="00302AFB" w:rsidRDefault="00302AFB" w:rsidP="00302AFB">
      <w:r w:rsidRPr="00302AFB">
        <w:t>The Bank seeks to:</w:t>
      </w:r>
    </w:p>
    <w:p w14:paraId="6A229E92" w14:textId="77777777" w:rsidR="00302AFB" w:rsidRPr="00302AFB" w:rsidRDefault="00302AFB" w:rsidP="00302AFB">
      <w:pPr>
        <w:numPr>
          <w:ilvl w:val="0"/>
          <w:numId w:val="9"/>
        </w:numPr>
      </w:pPr>
      <w:r w:rsidRPr="00302AFB">
        <w:t>maintain prudent affordability and credit assessment standards;</w:t>
      </w:r>
    </w:p>
    <w:p w14:paraId="4D2A479E" w14:textId="77777777" w:rsidR="00302AFB" w:rsidRPr="00302AFB" w:rsidRDefault="00302AFB" w:rsidP="00302AFB">
      <w:pPr>
        <w:numPr>
          <w:ilvl w:val="0"/>
          <w:numId w:val="9"/>
        </w:numPr>
      </w:pPr>
      <w:r w:rsidRPr="00302AFB">
        <w:t>focus primarily on prime and near-prime retail customers;</w:t>
      </w:r>
    </w:p>
    <w:p w14:paraId="6A0A5203" w14:textId="77777777" w:rsidR="00302AFB" w:rsidRPr="00302AFB" w:rsidRDefault="00302AFB" w:rsidP="00302AFB">
      <w:pPr>
        <w:numPr>
          <w:ilvl w:val="0"/>
          <w:numId w:val="9"/>
        </w:numPr>
      </w:pPr>
      <w:r w:rsidRPr="00302AFB">
        <w:t>maintain diversified retail lending portfolios; and</w:t>
      </w:r>
    </w:p>
    <w:p w14:paraId="28F92039" w14:textId="77777777" w:rsidR="00302AFB" w:rsidRPr="00302AFB" w:rsidRDefault="00302AFB" w:rsidP="00302AFB">
      <w:pPr>
        <w:numPr>
          <w:ilvl w:val="0"/>
          <w:numId w:val="9"/>
        </w:numPr>
      </w:pPr>
      <w:r w:rsidRPr="00302AFB">
        <w:t>avoid excessive concentration risk.</w:t>
      </w:r>
    </w:p>
    <w:p w14:paraId="7855EA18" w14:textId="77777777" w:rsidR="00302AFB" w:rsidRPr="00302AFB" w:rsidRDefault="00302AFB" w:rsidP="00302AFB">
      <w:r w:rsidRPr="00302AFB">
        <w:lastRenderedPageBreak/>
        <w:t>The Bank has:</w:t>
      </w:r>
    </w:p>
    <w:p w14:paraId="13028E30" w14:textId="77777777" w:rsidR="00302AFB" w:rsidRPr="00302AFB" w:rsidRDefault="00302AFB" w:rsidP="00302AFB">
      <w:pPr>
        <w:numPr>
          <w:ilvl w:val="0"/>
          <w:numId w:val="10"/>
        </w:numPr>
      </w:pPr>
      <w:r w:rsidRPr="00302AFB">
        <w:t>low appetite for speculative lending;</w:t>
      </w:r>
    </w:p>
    <w:p w14:paraId="64157777" w14:textId="77777777" w:rsidR="00302AFB" w:rsidRPr="00302AFB" w:rsidRDefault="00302AFB" w:rsidP="00302AFB">
      <w:pPr>
        <w:numPr>
          <w:ilvl w:val="0"/>
          <w:numId w:val="10"/>
        </w:numPr>
      </w:pPr>
      <w:r w:rsidRPr="00302AFB">
        <w:t>low appetite for highly leveraged lending;</w:t>
      </w:r>
    </w:p>
    <w:p w14:paraId="2694FAA1" w14:textId="77777777" w:rsidR="00302AFB" w:rsidRPr="00302AFB" w:rsidRDefault="00302AFB" w:rsidP="00302AFB">
      <w:pPr>
        <w:numPr>
          <w:ilvl w:val="0"/>
          <w:numId w:val="10"/>
        </w:numPr>
      </w:pPr>
      <w:r w:rsidRPr="00302AFB">
        <w:t>low appetite for material concentrations in higher-risk customer segments; and</w:t>
      </w:r>
    </w:p>
    <w:p w14:paraId="3C5FC9A1" w14:textId="77777777" w:rsidR="00302AFB" w:rsidRPr="00302AFB" w:rsidRDefault="00302AFB" w:rsidP="00302AFB">
      <w:pPr>
        <w:numPr>
          <w:ilvl w:val="0"/>
          <w:numId w:val="10"/>
        </w:numPr>
      </w:pPr>
      <w:r w:rsidRPr="00302AFB">
        <w:t>limited appetite for complex or non-standard credit products.</w:t>
      </w:r>
    </w:p>
    <w:p w14:paraId="41C708D8" w14:textId="77777777" w:rsidR="00302AFB" w:rsidRPr="00302AFB" w:rsidRDefault="00302AFB" w:rsidP="00302AFB">
      <w:r w:rsidRPr="00302AFB">
        <w:t>Credit risk appetite will be monitored through metrics including:</w:t>
      </w:r>
    </w:p>
    <w:p w14:paraId="0BAB1AC4" w14:textId="77777777" w:rsidR="00302AFB" w:rsidRPr="00302AFB" w:rsidRDefault="00302AFB" w:rsidP="00302AFB">
      <w:pPr>
        <w:numPr>
          <w:ilvl w:val="0"/>
          <w:numId w:val="11"/>
        </w:numPr>
      </w:pPr>
      <w:r w:rsidRPr="00302AFB">
        <w:t>arrears levels;</w:t>
      </w:r>
    </w:p>
    <w:p w14:paraId="3E2E91F1" w14:textId="77777777" w:rsidR="00302AFB" w:rsidRPr="00302AFB" w:rsidRDefault="00302AFB" w:rsidP="00302AFB">
      <w:pPr>
        <w:numPr>
          <w:ilvl w:val="0"/>
          <w:numId w:val="11"/>
        </w:numPr>
      </w:pPr>
      <w:r w:rsidRPr="00302AFB">
        <w:t>impairment trends;</w:t>
      </w:r>
    </w:p>
    <w:p w14:paraId="1BA1A1FF" w14:textId="77777777" w:rsidR="00302AFB" w:rsidRPr="00302AFB" w:rsidRDefault="00302AFB" w:rsidP="00302AFB">
      <w:pPr>
        <w:numPr>
          <w:ilvl w:val="0"/>
          <w:numId w:val="11"/>
        </w:numPr>
      </w:pPr>
      <w:r w:rsidRPr="00302AFB">
        <w:t>portfolio concentrations;</w:t>
      </w:r>
    </w:p>
    <w:p w14:paraId="22D06624" w14:textId="77777777" w:rsidR="00302AFB" w:rsidRPr="00302AFB" w:rsidRDefault="00302AFB" w:rsidP="00302AFB">
      <w:pPr>
        <w:numPr>
          <w:ilvl w:val="0"/>
          <w:numId w:val="11"/>
        </w:numPr>
      </w:pPr>
      <w:r w:rsidRPr="00302AFB">
        <w:t>loan-to-value ratios; and</w:t>
      </w:r>
    </w:p>
    <w:p w14:paraId="2FEB36E4" w14:textId="77777777" w:rsidR="00302AFB" w:rsidRPr="00302AFB" w:rsidRDefault="00302AFB" w:rsidP="00302AFB">
      <w:pPr>
        <w:numPr>
          <w:ilvl w:val="0"/>
          <w:numId w:val="11"/>
        </w:numPr>
      </w:pPr>
      <w:r w:rsidRPr="00302AFB">
        <w:t>stress testing outcomes.</w:t>
      </w:r>
    </w:p>
    <w:p w14:paraId="6DA58B10" w14:textId="77777777" w:rsidR="00302AFB" w:rsidRPr="00302AFB" w:rsidRDefault="00302AFB" w:rsidP="00302AFB">
      <w:r w:rsidRPr="00302AFB">
        <w:pict w14:anchorId="3D633146">
          <v:rect id="_x0000_i1158" style="width:0;height:1.5pt" o:hralign="center" o:hrstd="t" o:hr="t" fillcolor="#a0a0a0" stroked="f"/>
        </w:pict>
      </w:r>
    </w:p>
    <w:p w14:paraId="02D4D489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6.2 Capital Risk</w:t>
      </w:r>
    </w:p>
    <w:p w14:paraId="39EA38A7" w14:textId="77777777" w:rsidR="00302AFB" w:rsidRPr="00302AFB" w:rsidRDefault="00302AFB" w:rsidP="00302AFB">
      <w:r w:rsidRPr="00302AFB">
        <w:t>The Bank has a low appetite for operating close to minimum regulatory capital requirements.</w:t>
      </w:r>
    </w:p>
    <w:p w14:paraId="698C30F0" w14:textId="77777777" w:rsidR="00302AFB" w:rsidRPr="00302AFB" w:rsidRDefault="00302AFB" w:rsidP="00302AFB">
      <w:r w:rsidRPr="00302AFB">
        <w:t>The Bank seeks to maintain:</w:t>
      </w:r>
    </w:p>
    <w:p w14:paraId="423E68F7" w14:textId="77777777" w:rsidR="00302AFB" w:rsidRPr="00302AFB" w:rsidRDefault="00302AFB" w:rsidP="00302AFB">
      <w:pPr>
        <w:numPr>
          <w:ilvl w:val="0"/>
          <w:numId w:val="12"/>
        </w:numPr>
      </w:pPr>
      <w:r w:rsidRPr="00302AFB">
        <w:t>capital levels sufficient to support its strategy;</w:t>
      </w:r>
    </w:p>
    <w:p w14:paraId="6F4D9648" w14:textId="77777777" w:rsidR="00302AFB" w:rsidRPr="00302AFB" w:rsidRDefault="00302AFB" w:rsidP="00302AFB">
      <w:pPr>
        <w:numPr>
          <w:ilvl w:val="0"/>
          <w:numId w:val="12"/>
        </w:numPr>
      </w:pPr>
      <w:r w:rsidRPr="00302AFB">
        <w:t>prudent management buffers above regulatory minima; and</w:t>
      </w:r>
    </w:p>
    <w:p w14:paraId="0E8B3E19" w14:textId="77777777" w:rsidR="00302AFB" w:rsidRPr="00302AFB" w:rsidRDefault="00302AFB" w:rsidP="00302AFB">
      <w:pPr>
        <w:numPr>
          <w:ilvl w:val="0"/>
          <w:numId w:val="12"/>
        </w:numPr>
      </w:pPr>
      <w:r w:rsidRPr="00302AFB">
        <w:t>resilience under stressed conditions.</w:t>
      </w:r>
    </w:p>
    <w:p w14:paraId="0ED9F4F7" w14:textId="77777777" w:rsidR="00302AFB" w:rsidRPr="00302AFB" w:rsidRDefault="00302AFB" w:rsidP="00302AFB">
      <w:r w:rsidRPr="00302AFB">
        <w:t>Capital planning should consider:</w:t>
      </w:r>
    </w:p>
    <w:p w14:paraId="5A975DD4" w14:textId="77777777" w:rsidR="00302AFB" w:rsidRPr="00302AFB" w:rsidRDefault="00302AFB" w:rsidP="00302AFB">
      <w:pPr>
        <w:numPr>
          <w:ilvl w:val="0"/>
          <w:numId w:val="13"/>
        </w:numPr>
      </w:pPr>
      <w:r w:rsidRPr="00302AFB">
        <w:t>business growth;</w:t>
      </w:r>
    </w:p>
    <w:p w14:paraId="7BF76D65" w14:textId="77777777" w:rsidR="00302AFB" w:rsidRPr="00302AFB" w:rsidRDefault="00302AFB" w:rsidP="00302AFB">
      <w:pPr>
        <w:numPr>
          <w:ilvl w:val="0"/>
          <w:numId w:val="13"/>
        </w:numPr>
      </w:pPr>
      <w:r w:rsidRPr="00302AFB">
        <w:t>stress testing outcomes;</w:t>
      </w:r>
    </w:p>
    <w:p w14:paraId="5E2CC4A9" w14:textId="77777777" w:rsidR="00302AFB" w:rsidRPr="00302AFB" w:rsidRDefault="00302AFB" w:rsidP="00302AFB">
      <w:pPr>
        <w:numPr>
          <w:ilvl w:val="0"/>
          <w:numId w:val="13"/>
        </w:numPr>
      </w:pPr>
      <w:r w:rsidRPr="00302AFB">
        <w:t>regulatory developments; and</w:t>
      </w:r>
    </w:p>
    <w:p w14:paraId="768162BB" w14:textId="77777777" w:rsidR="00302AFB" w:rsidRPr="00302AFB" w:rsidRDefault="00302AFB" w:rsidP="00302AFB">
      <w:pPr>
        <w:numPr>
          <w:ilvl w:val="0"/>
          <w:numId w:val="13"/>
        </w:numPr>
      </w:pPr>
      <w:r w:rsidRPr="00302AFB">
        <w:t>emerging risks.</w:t>
      </w:r>
    </w:p>
    <w:p w14:paraId="5CB589E1" w14:textId="77777777" w:rsidR="00302AFB" w:rsidRPr="00302AFB" w:rsidRDefault="00302AFB" w:rsidP="00302AFB">
      <w:r w:rsidRPr="00302AFB">
        <w:pict w14:anchorId="216630C9">
          <v:rect id="_x0000_i1159" style="width:0;height:1.5pt" o:hralign="center" o:hrstd="t" o:hr="t" fillcolor="#a0a0a0" stroked="f"/>
        </w:pict>
      </w:r>
    </w:p>
    <w:p w14:paraId="3B7776F2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6.3 Liquidity and Funding Risk</w:t>
      </w:r>
    </w:p>
    <w:p w14:paraId="711B0591" w14:textId="77777777" w:rsidR="00302AFB" w:rsidRPr="00302AFB" w:rsidRDefault="00302AFB" w:rsidP="00302AFB">
      <w:r w:rsidRPr="00302AFB">
        <w:t>The Bank has a low appetite for liquidity or funding stress that could threaten customer confidence or operational stability.</w:t>
      </w:r>
    </w:p>
    <w:p w14:paraId="34B17BD8" w14:textId="77777777" w:rsidR="00302AFB" w:rsidRPr="00302AFB" w:rsidRDefault="00302AFB" w:rsidP="00302AFB">
      <w:r w:rsidRPr="00302AFB">
        <w:t>The Bank seeks to:</w:t>
      </w:r>
    </w:p>
    <w:p w14:paraId="17E8E42A" w14:textId="77777777" w:rsidR="00302AFB" w:rsidRPr="00302AFB" w:rsidRDefault="00302AFB" w:rsidP="00302AFB">
      <w:pPr>
        <w:numPr>
          <w:ilvl w:val="0"/>
          <w:numId w:val="14"/>
        </w:numPr>
      </w:pPr>
      <w:r w:rsidRPr="00302AFB">
        <w:lastRenderedPageBreak/>
        <w:t>maintain strong liquidity coverage;</w:t>
      </w:r>
    </w:p>
    <w:p w14:paraId="5C85D8CD" w14:textId="77777777" w:rsidR="00302AFB" w:rsidRPr="00302AFB" w:rsidRDefault="00302AFB" w:rsidP="00302AFB">
      <w:pPr>
        <w:numPr>
          <w:ilvl w:val="0"/>
          <w:numId w:val="14"/>
        </w:numPr>
      </w:pPr>
      <w:r w:rsidRPr="00302AFB">
        <w:t>maintain diversified funding sources;</w:t>
      </w:r>
    </w:p>
    <w:p w14:paraId="15DB1D7F" w14:textId="77777777" w:rsidR="00302AFB" w:rsidRPr="00302AFB" w:rsidRDefault="00302AFB" w:rsidP="00302AFB">
      <w:pPr>
        <w:numPr>
          <w:ilvl w:val="0"/>
          <w:numId w:val="14"/>
        </w:numPr>
      </w:pPr>
      <w:r w:rsidRPr="00302AFB">
        <w:t>rely primarily on stable retail funding; and</w:t>
      </w:r>
    </w:p>
    <w:p w14:paraId="12074FA1" w14:textId="77777777" w:rsidR="00302AFB" w:rsidRPr="00302AFB" w:rsidRDefault="00302AFB" w:rsidP="00302AFB">
      <w:pPr>
        <w:numPr>
          <w:ilvl w:val="0"/>
          <w:numId w:val="14"/>
        </w:numPr>
      </w:pPr>
      <w:r w:rsidRPr="00302AFB">
        <w:t>limit dependence on short-term wholesale funding.</w:t>
      </w:r>
    </w:p>
    <w:p w14:paraId="3D8699B2" w14:textId="77777777" w:rsidR="00302AFB" w:rsidRPr="00302AFB" w:rsidRDefault="00302AFB" w:rsidP="00302AFB">
      <w:r w:rsidRPr="00302AFB">
        <w:t>The Bank has low appetite for:</w:t>
      </w:r>
    </w:p>
    <w:p w14:paraId="6FC32311" w14:textId="77777777" w:rsidR="00302AFB" w:rsidRPr="00302AFB" w:rsidRDefault="00302AFB" w:rsidP="00302AFB">
      <w:pPr>
        <w:numPr>
          <w:ilvl w:val="0"/>
          <w:numId w:val="15"/>
        </w:numPr>
      </w:pPr>
      <w:r w:rsidRPr="00302AFB">
        <w:t>material funding concentration;</w:t>
      </w:r>
    </w:p>
    <w:p w14:paraId="2C25487A" w14:textId="77777777" w:rsidR="00302AFB" w:rsidRPr="00302AFB" w:rsidRDefault="00302AFB" w:rsidP="00302AFB">
      <w:pPr>
        <w:numPr>
          <w:ilvl w:val="0"/>
          <w:numId w:val="15"/>
        </w:numPr>
      </w:pPr>
      <w:r w:rsidRPr="00302AFB">
        <w:t>excessive refinancing risk; or</w:t>
      </w:r>
    </w:p>
    <w:p w14:paraId="2D5A2931" w14:textId="77777777" w:rsidR="00302AFB" w:rsidRPr="00302AFB" w:rsidRDefault="00302AFB" w:rsidP="00302AFB">
      <w:pPr>
        <w:numPr>
          <w:ilvl w:val="0"/>
          <w:numId w:val="15"/>
        </w:numPr>
      </w:pPr>
      <w:r w:rsidRPr="00302AFB">
        <w:t>liquidity positions that could materially impair resilience during stressed conditions.</w:t>
      </w:r>
    </w:p>
    <w:p w14:paraId="76EB1177" w14:textId="77777777" w:rsidR="00302AFB" w:rsidRPr="00302AFB" w:rsidRDefault="00302AFB" w:rsidP="00302AFB">
      <w:r w:rsidRPr="00302AFB">
        <w:pict w14:anchorId="686A4724">
          <v:rect id="_x0000_i1160" style="width:0;height:1.5pt" o:hralign="center" o:hrstd="t" o:hr="t" fillcolor="#a0a0a0" stroked="f"/>
        </w:pict>
      </w:r>
    </w:p>
    <w:p w14:paraId="330A0C2D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6.4 Market Risk</w:t>
      </w:r>
    </w:p>
    <w:p w14:paraId="2381DD43" w14:textId="77777777" w:rsidR="00302AFB" w:rsidRPr="00302AFB" w:rsidRDefault="00302AFB" w:rsidP="00302AFB">
      <w:r w:rsidRPr="00302AFB">
        <w:t>The Bank has a low appetite for market risk.</w:t>
      </w:r>
    </w:p>
    <w:p w14:paraId="48120EAF" w14:textId="77777777" w:rsidR="00302AFB" w:rsidRPr="00302AFB" w:rsidRDefault="00302AFB" w:rsidP="00302AFB">
      <w:r w:rsidRPr="00302AFB">
        <w:t>The Bank does not undertake proprietary trading activity and limits market risk exposure primarily to activities arising from normal banking operations.</w:t>
      </w:r>
    </w:p>
    <w:p w14:paraId="77CA2404" w14:textId="77777777" w:rsidR="00302AFB" w:rsidRPr="00302AFB" w:rsidRDefault="00302AFB" w:rsidP="00302AFB">
      <w:r w:rsidRPr="00302AFB">
        <w:t>The Bank seeks to manage:</w:t>
      </w:r>
    </w:p>
    <w:p w14:paraId="20D4A27E" w14:textId="77777777" w:rsidR="00302AFB" w:rsidRPr="00302AFB" w:rsidRDefault="00302AFB" w:rsidP="00302AFB">
      <w:pPr>
        <w:numPr>
          <w:ilvl w:val="0"/>
          <w:numId w:val="16"/>
        </w:numPr>
      </w:pPr>
      <w:r w:rsidRPr="00302AFB">
        <w:t>interest rate risk;</w:t>
      </w:r>
    </w:p>
    <w:p w14:paraId="186A8B20" w14:textId="77777777" w:rsidR="00302AFB" w:rsidRPr="00302AFB" w:rsidRDefault="00302AFB" w:rsidP="00302AFB">
      <w:pPr>
        <w:numPr>
          <w:ilvl w:val="0"/>
          <w:numId w:val="16"/>
        </w:numPr>
      </w:pPr>
      <w:r w:rsidRPr="00302AFB">
        <w:t>treasury activities; and</w:t>
      </w:r>
    </w:p>
    <w:p w14:paraId="4A680BD0" w14:textId="77777777" w:rsidR="00302AFB" w:rsidRPr="00302AFB" w:rsidRDefault="00302AFB" w:rsidP="00302AFB">
      <w:pPr>
        <w:numPr>
          <w:ilvl w:val="0"/>
          <w:numId w:val="16"/>
        </w:numPr>
      </w:pPr>
      <w:r w:rsidRPr="00302AFB">
        <w:t>balance sheet exposures</w:t>
      </w:r>
    </w:p>
    <w:p w14:paraId="149A0574" w14:textId="77777777" w:rsidR="00302AFB" w:rsidRPr="00302AFB" w:rsidRDefault="00302AFB" w:rsidP="00302AFB">
      <w:r w:rsidRPr="00302AFB">
        <w:t>within approved limits and tolerances.</w:t>
      </w:r>
    </w:p>
    <w:p w14:paraId="73CFF347" w14:textId="77777777" w:rsidR="00302AFB" w:rsidRPr="00302AFB" w:rsidRDefault="00302AFB" w:rsidP="00302AFB">
      <w:r w:rsidRPr="00302AFB">
        <w:pict w14:anchorId="50380BCA">
          <v:rect id="_x0000_i1161" style="width:0;height:1.5pt" o:hralign="center" o:hrstd="t" o:hr="t" fillcolor="#a0a0a0" stroked="f"/>
        </w:pict>
      </w:r>
    </w:p>
    <w:p w14:paraId="0BB4D738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6.5 Conduct Risk</w:t>
      </w:r>
    </w:p>
    <w:p w14:paraId="33B12C87" w14:textId="77777777" w:rsidR="00302AFB" w:rsidRPr="00302AFB" w:rsidRDefault="00302AFB" w:rsidP="00302AFB">
      <w:r w:rsidRPr="00302AFB">
        <w:t>The Bank has a low appetite for conduct failures and customer harm.</w:t>
      </w:r>
    </w:p>
    <w:p w14:paraId="2F05FED3" w14:textId="77777777" w:rsidR="00302AFB" w:rsidRPr="00302AFB" w:rsidRDefault="00302AFB" w:rsidP="00302AFB">
      <w:r w:rsidRPr="00302AFB">
        <w:t>The Bank seeks to:</w:t>
      </w:r>
    </w:p>
    <w:p w14:paraId="140DBEF2" w14:textId="77777777" w:rsidR="00302AFB" w:rsidRPr="00302AFB" w:rsidRDefault="00302AFB" w:rsidP="00302AFB">
      <w:pPr>
        <w:numPr>
          <w:ilvl w:val="0"/>
          <w:numId w:val="17"/>
        </w:numPr>
      </w:pPr>
      <w:r w:rsidRPr="00302AFB">
        <w:t>deliver good customer outcomes;</w:t>
      </w:r>
    </w:p>
    <w:p w14:paraId="6E62F8AB" w14:textId="77777777" w:rsidR="00302AFB" w:rsidRPr="00302AFB" w:rsidRDefault="00302AFB" w:rsidP="00302AFB">
      <w:pPr>
        <w:numPr>
          <w:ilvl w:val="0"/>
          <w:numId w:val="17"/>
        </w:numPr>
      </w:pPr>
      <w:r w:rsidRPr="00302AFB">
        <w:t>comply with Consumer Duty requirements;</w:t>
      </w:r>
    </w:p>
    <w:p w14:paraId="65EA9F25" w14:textId="77777777" w:rsidR="00302AFB" w:rsidRPr="00302AFB" w:rsidRDefault="00302AFB" w:rsidP="00302AFB">
      <w:pPr>
        <w:numPr>
          <w:ilvl w:val="0"/>
          <w:numId w:val="17"/>
        </w:numPr>
      </w:pPr>
      <w:r w:rsidRPr="00302AFB">
        <w:t>maintain fair treatment of customers; and</w:t>
      </w:r>
    </w:p>
    <w:p w14:paraId="74E8455A" w14:textId="77777777" w:rsidR="00302AFB" w:rsidRPr="00302AFB" w:rsidRDefault="00302AFB" w:rsidP="00302AFB">
      <w:pPr>
        <w:numPr>
          <w:ilvl w:val="0"/>
          <w:numId w:val="17"/>
        </w:numPr>
      </w:pPr>
      <w:r w:rsidRPr="00302AFB">
        <w:t>identify and mitigate foreseeable harm.</w:t>
      </w:r>
    </w:p>
    <w:p w14:paraId="0DB971A7" w14:textId="77777777" w:rsidR="00302AFB" w:rsidRPr="00302AFB" w:rsidRDefault="00302AFB" w:rsidP="00302AFB">
      <w:r w:rsidRPr="00302AFB">
        <w:t>The Bank has very low appetite for:</w:t>
      </w:r>
    </w:p>
    <w:p w14:paraId="1E49D322" w14:textId="77777777" w:rsidR="00302AFB" w:rsidRPr="00302AFB" w:rsidRDefault="00302AFB" w:rsidP="00302AFB">
      <w:pPr>
        <w:numPr>
          <w:ilvl w:val="0"/>
          <w:numId w:val="18"/>
        </w:numPr>
      </w:pPr>
      <w:r w:rsidRPr="00302AFB">
        <w:t>deliberate misconduct;</w:t>
      </w:r>
    </w:p>
    <w:p w14:paraId="1135936D" w14:textId="77777777" w:rsidR="00302AFB" w:rsidRPr="00302AFB" w:rsidRDefault="00302AFB" w:rsidP="00302AFB">
      <w:pPr>
        <w:numPr>
          <w:ilvl w:val="0"/>
          <w:numId w:val="18"/>
        </w:numPr>
      </w:pPr>
      <w:r w:rsidRPr="00302AFB">
        <w:lastRenderedPageBreak/>
        <w:t>systemic customer detriment;</w:t>
      </w:r>
    </w:p>
    <w:p w14:paraId="4F65686E" w14:textId="77777777" w:rsidR="00302AFB" w:rsidRPr="00302AFB" w:rsidRDefault="00302AFB" w:rsidP="00302AFB">
      <w:pPr>
        <w:numPr>
          <w:ilvl w:val="0"/>
          <w:numId w:val="18"/>
        </w:numPr>
      </w:pPr>
      <w:r w:rsidRPr="00302AFB">
        <w:t>misleading communications;</w:t>
      </w:r>
    </w:p>
    <w:p w14:paraId="006427C5" w14:textId="77777777" w:rsidR="00302AFB" w:rsidRPr="00302AFB" w:rsidRDefault="00302AFB" w:rsidP="00302AFB">
      <w:pPr>
        <w:numPr>
          <w:ilvl w:val="0"/>
          <w:numId w:val="18"/>
        </w:numPr>
      </w:pPr>
      <w:r w:rsidRPr="00302AFB">
        <w:t>unfair pricing practices; or</w:t>
      </w:r>
    </w:p>
    <w:p w14:paraId="1D5661F2" w14:textId="77777777" w:rsidR="00302AFB" w:rsidRPr="00302AFB" w:rsidRDefault="00302AFB" w:rsidP="00302AFB">
      <w:pPr>
        <w:numPr>
          <w:ilvl w:val="0"/>
          <w:numId w:val="18"/>
        </w:numPr>
      </w:pPr>
      <w:r w:rsidRPr="00302AFB">
        <w:t>material failures affecting vulnerable customers.</w:t>
      </w:r>
    </w:p>
    <w:p w14:paraId="15F84F4B" w14:textId="77777777" w:rsidR="00302AFB" w:rsidRPr="00302AFB" w:rsidRDefault="00302AFB" w:rsidP="00302AFB">
      <w:r w:rsidRPr="00302AFB">
        <w:t>Conduct risk indicators may include:</w:t>
      </w:r>
    </w:p>
    <w:p w14:paraId="7206B1F5" w14:textId="77777777" w:rsidR="00302AFB" w:rsidRPr="00302AFB" w:rsidRDefault="00302AFB" w:rsidP="00302AFB">
      <w:pPr>
        <w:numPr>
          <w:ilvl w:val="0"/>
          <w:numId w:val="19"/>
        </w:numPr>
      </w:pPr>
      <w:r w:rsidRPr="00302AFB">
        <w:t>complaints trends;</w:t>
      </w:r>
    </w:p>
    <w:p w14:paraId="05E5E950" w14:textId="77777777" w:rsidR="00302AFB" w:rsidRPr="00302AFB" w:rsidRDefault="00302AFB" w:rsidP="00302AFB">
      <w:pPr>
        <w:numPr>
          <w:ilvl w:val="0"/>
          <w:numId w:val="19"/>
        </w:numPr>
      </w:pPr>
      <w:r w:rsidRPr="00302AFB">
        <w:t>remediation events;</w:t>
      </w:r>
    </w:p>
    <w:p w14:paraId="6034455A" w14:textId="77777777" w:rsidR="00302AFB" w:rsidRPr="00302AFB" w:rsidRDefault="00302AFB" w:rsidP="00302AFB">
      <w:pPr>
        <w:numPr>
          <w:ilvl w:val="0"/>
          <w:numId w:val="19"/>
        </w:numPr>
      </w:pPr>
      <w:r w:rsidRPr="00302AFB">
        <w:t>customer outcome monitoring;</w:t>
      </w:r>
    </w:p>
    <w:p w14:paraId="50557CBD" w14:textId="77777777" w:rsidR="00302AFB" w:rsidRPr="00302AFB" w:rsidRDefault="00302AFB" w:rsidP="00302AFB">
      <w:pPr>
        <w:numPr>
          <w:ilvl w:val="0"/>
          <w:numId w:val="19"/>
        </w:numPr>
      </w:pPr>
      <w:r w:rsidRPr="00302AFB">
        <w:t>Financial Ombudsman Service outcomes; and</w:t>
      </w:r>
    </w:p>
    <w:p w14:paraId="7A9F3FD7" w14:textId="77777777" w:rsidR="00302AFB" w:rsidRPr="00302AFB" w:rsidRDefault="00302AFB" w:rsidP="00302AFB">
      <w:pPr>
        <w:numPr>
          <w:ilvl w:val="0"/>
          <w:numId w:val="19"/>
        </w:numPr>
      </w:pPr>
      <w:r w:rsidRPr="00302AFB">
        <w:t>customer vulnerability metrics.</w:t>
      </w:r>
    </w:p>
    <w:p w14:paraId="4A610B7F" w14:textId="77777777" w:rsidR="00302AFB" w:rsidRPr="00302AFB" w:rsidRDefault="00302AFB" w:rsidP="00302AFB">
      <w:r w:rsidRPr="00302AFB">
        <w:pict w14:anchorId="11292AD0">
          <v:rect id="_x0000_i1162" style="width:0;height:1.5pt" o:hralign="center" o:hrstd="t" o:hr="t" fillcolor="#a0a0a0" stroked="f"/>
        </w:pict>
      </w:r>
    </w:p>
    <w:p w14:paraId="0802F2AA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6.6 Operational Risk</w:t>
      </w:r>
    </w:p>
    <w:p w14:paraId="742409F8" w14:textId="77777777" w:rsidR="00302AFB" w:rsidRPr="00302AFB" w:rsidRDefault="00302AFB" w:rsidP="00302AFB">
      <w:r w:rsidRPr="00302AFB">
        <w:t>The Bank has a low appetite for operational disruption affecting customers, regulatory compliance or critical business services.</w:t>
      </w:r>
    </w:p>
    <w:p w14:paraId="259F615D" w14:textId="77777777" w:rsidR="00302AFB" w:rsidRPr="00302AFB" w:rsidRDefault="00302AFB" w:rsidP="00302AFB">
      <w:r w:rsidRPr="00302AFB">
        <w:t>The Bank seeks to:</w:t>
      </w:r>
    </w:p>
    <w:p w14:paraId="6E66E069" w14:textId="77777777" w:rsidR="00302AFB" w:rsidRPr="00302AFB" w:rsidRDefault="00302AFB" w:rsidP="00302AFB">
      <w:pPr>
        <w:numPr>
          <w:ilvl w:val="0"/>
          <w:numId w:val="20"/>
        </w:numPr>
      </w:pPr>
      <w:r w:rsidRPr="00302AFB">
        <w:t>maintain resilient operational processes;</w:t>
      </w:r>
    </w:p>
    <w:p w14:paraId="7BBBFBC0" w14:textId="77777777" w:rsidR="00302AFB" w:rsidRPr="00302AFB" w:rsidRDefault="00302AFB" w:rsidP="00302AFB">
      <w:pPr>
        <w:numPr>
          <w:ilvl w:val="0"/>
          <w:numId w:val="20"/>
        </w:numPr>
      </w:pPr>
      <w:r w:rsidRPr="00302AFB">
        <w:t>strengthen operational controls;</w:t>
      </w:r>
    </w:p>
    <w:p w14:paraId="75B5EC42" w14:textId="77777777" w:rsidR="00302AFB" w:rsidRPr="00302AFB" w:rsidRDefault="00302AFB" w:rsidP="00302AFB">
      <w:pPr>
        <w:numPr>
          <w:ilvl w:val="0"/>
          <w:numId w:val="20"/>
        </w:numPr>
      </w:pPr>
      <w:r w:rsidRPr="00302AFB">
        <w:t>manage outsourcing risk appropriately; and</w:t>
      </w:r>
    </w:p>
    <w:p w14:paraId="5F359563" w14:textId="77777777" w:rsidR="00302AFB" w:rsidRPr="00302AFB" w:rsidRDefault="00302AFB" w:rsidP="00302AFB">
      <w:pPr>
        <w:numPr>
          <w:ilvl w:val="0"/>
          <w:numId w:val="20"/>
        </w:numPr>
      </w:pPr>
      <w:r w:rsidRPr="00302AFB">
        <w:t>minimise operational losses and customer disruption.</w:t>
      </w:r>
    </w:p>
    <w:p w14:paraId="25B0E915" w14:textId="77777777" w:rsidR="00302AFB" w:rsidRPr="00302AFB" w:rsidRDefault="00302AFB" w:rsidP="00302AFB">
      <w:r w:rsidRPr="00302AFB">
        <w:t>The Bank has low appetite for:</w:t>
      </w:r>
    </w:p>
    <w:p w14:paraId="0EEA969C" w14:textId="77777777" w:rsidR="00302AFB" w:rsidRPr="00302AFB" w:rsidRDefault="00302AFB" w:rsidP="00302AFB">
      <w:pPr>
        <w:numPr>
          <w:ilvl w:val="0"/>
          <w:numId w:val="21"/>
        </w:numPr>
      </w:pPr>
      <w:r w:rsidRPr="00302AFB">
        <w:t>unmanaged operational dependencies;</w:t>
      </w:r>
    </w:p>
    <w:p w14:paraId="58A09931" w14:textId="77777777" w:rsidR="00302AFB" w:rsidRPr="00302AFB" w:rsidRDefault="00302AFB" w:rsidP="00302AFB">
      <w:pPr>
        <w:numPr>
          <w:ilvl w:val="0"/>
          <w:numId w:val="21"/>
        </w:numPr>
      </w:pPr>
      <w:r w:rsidRPr="00302AFB">
        <w:t>material processing failures;</w:t>
      </w:r>
    </w:p>
    <w:p w14:paraId="2421C152" w14:textId="77777777" w:rsidR="00302AFB" w:rsidRPr="00302AFB" w:rsidRDefault="00302AFB" w:rsidP="00302AFB">
      <w:pPr>
        <w:numPr>
          <w:ilvl w:val="0"/>
          <w:numId w:val="21"/>
        </w:numPr>
      </w:pPr>
      <w:r w:rsidRPr="00302AFB">
        <w:t>significant operational resilience failures; or</w:t>
      </w:r>
    </w:p>
    <w:p w14:paraId="3E023C6F" w14:textId="77777777" w:rsidR="00302AFB" w:rsidRPr="00302AFB" w:rsidRDefault="00302AFB" w:rsidP="00302AFB">
      <w:pPr>
        <w:numPr>
          <w:ilvl w:val="0"/>
          <w:numId w:val="21"/>
        </w:numPr>
      </w:pPr>
      <w:r w:rsidRPr="00302AFB">
        <w:t>inadequate change management.</w:t>
      </w:r>
    </w:p>
    <w:p w14:paraId="76D53966" w14:textId="77777777" w:rsidR="00302AFB" w:rsidRPr="00302AFB" w:rsidRDefault="00302AFB" w:rsidP="00302AFB">
      <w:r w:rsidRPr="00302AFB">
        <w:t>Operational risk monitoring may include:</w:t>
      </w:r>
    </w:p>
    <w:p w14:paraId="6D07FE68" w14:textId="77777777" w:rsidR="00302AFB" w:rsidRPr="00302AFB" w:rsidRDefault="00302AFB" w:rsidP="00302AFB">
      <w:pPr>
        <w:numPr>
          <w:ilvl w:val="0"/>
          <w:numId w:val="22"/>
        </w:numPr>
      </w:pPr>
      <w:r w:rsidRPr="00302AFB">
        <w:t>operational incidents;</w:t>
      </w:r>
    </w:p>
    <w:p w14:paraId="66B7BB76" w14:textId="77777777" w:rsidR="00302AFB" w:rsidRPr="00302AFB" w:rsidRDefault="00302AFB" w:rsidP="00302AFB">
      <w:pPr>
        <w:numPr>
          <w:ilvl w:val="0"/>
          <w:numId w:val="22"/>
        </w:numPr>
      </w:pPr>
      <w:r w:rsidRPr="00302AFB">
        <w:t>service disruption;</w:t>
      </w:r>
    </w:p>
    <w:p w14:paraId="319F9C6C" w14:textId="77777777" w:rsidR="00302AFB" w:rsidRPr="00302AFB" w:rsidRDefault="00302AFB" w:rsidP="00302AFB">
      <w:pPr>
        <w:numPr>
          <w:ilvl w:val="0"/>
          <w:numId w:val="22"/>
        </w:numPr>
      </w:pPr>
      <w:r w:rsidRPr="00302AFB">
        <w:t>control failures;</w:t>
      </w:r>
    </w:p>
    <w:p w14:paraId="5340AD0E" w14:textId="77777777" w:rsidR="00302AFB" w:rsidRPr="00302AFB" w:rsidRDefault="00302AFB" w:rsidP="00302AFB">
      <w:pPr>
        <w:numPr>
          <w:ilvl w:val="0"/>
          <w:numId w:val="22"/>
        </w:numPr>
      </w:pPr>
      <w:r w:rsidRPr="00302AFB">
        <w:lastRenderedPageBreak/>
        <w:t>operational resilience metrics; and</w:t>
      </w:r>
    </w:p>
    <w:p w14:paraId="733BD969" w14:textId="77777777" w:rsidR="00302AFB" w:rsidRPr="00302AFB" w:rsidRDefault="00302AFB" w:rsidP="00302AFB">
      <w:pPr>
        <w:numPr>
          <w:ilvl w:val="0"/>
          <w:numId w:val="22"/>
        </w:numPr>
      </w:pPr>
      <w:r w:rsidRPr="00302AFB">
        <w:t>outsourcing performance.</w:t>
      </w:r>
    </w:p>
    <w:p w14:paraId="5A107D7D" w14:textId="77777777" w:rsidR="00302AFB" w:rsidRPr="00302AFB" w:rsidRDefault="00302AFB" w:rsidP="00302AFB">
      <w:r w:rsidRPr="00302AFB">
        <w:pict w14:anchorId="735C2CA6">
          <v:rect id="_x0000_i1163" style="width:0;height:1.5pt" o:hralign="center" o:hrstd="t" o:hr="t" fillcolor="#a0a0a0" stroked="f"/>
        </w:pict>
      </w:r>
    </w:p>
    <w:p w14:paraId="45AB176D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6.7 Technology and Cyber Risk</w:t>
      </w:r>
    </w:p>
    <w:p w14:paraId="4FAE8378" w14:textId="77777777" w:rsidR="00302AFB" w:rsidRPr="00302AFB" w:rsidRDefault="00302AFB" w:rsidP="00302AFB">
      <w:r w:rsidRPr="00302AFB">
        <w:t>The Bank recognises the importance of technology and digital capability to its business model and customer proposition.</w:t>
      </w:r>
    </w:p>
    <w:p w14:paraId="74F66862" w14:textId="77777777" w:rsidR="00302AFB" w:rsidRPr="00302AFB" w:rsidRDefault="00302AFB" w:rsidP="00302AFB">
      <w:r w:rsidRPr="00302AFB">
        <w:t>The Bank has a moderate appetite for technology investment and controlled innovation, subject to appropriate governance and oversight.</w:t>
      </w:r>
    </w:p>
    <w:p w14:paraId="2C0F76FB" w14:textId="77777777" w:rsidR="00302AFB" w:rsidRPr="00302AFB" w:rsidRDefault="00302AFB" w:rsidP="00302AFB">
      <w:r w:rsidRPr="00302AFB">
        <w:t>The Bank has low appetite for:</w:t>
      </w:r>
    </w:p>
    <w:p w14:paraId="68544CEE" w14:textId="77777777" w:rsidR="00302AFB" w:rsidRPr="00302AFB" w:rsidRDefault="00302AFB" w:rsidP="00302AFB">
      <w:pPr>
        <w:numPr>
          <w:ilvl w:val="0"/>
          <w:numId w:val="23"/>
        </w:numPr>
      </w:pPr>
      <w:r w:rsidRPr="00302AFB">
        <w:t>unmanaged cyber vulnerabilities;</w:t>
      </w:r>
    </w:p>
    <w:p w14:paraId="051826D3" w14:textId="77777777" w:rsidR="00302AFB" w:rsidRPr="00302AFB" w:rsidRDefault="00302AFB" w:rsidP="00302AFB">
      <w:pPr>
        <w:numPr>
          <w:ilvl w:val="0"/>
          <w:numId w:val="23"/>
        </w:numPr>
      </w:pPr>
      <w:r w:rsidRPr="00302AFB">
        <w:t>technology change implemented without appropriate testing or governance;</w:t>
      </w:r>
    </w:p>
    <w:p w14:paraId="0A961066" w14:textId="77777777" w:rsidR="00302AFB" w:rsidRPr="00302AFB" w:rsidRDefault="00302AFB" w:rsidP="00302AFB">
      <w:pPr>
        <w:numPr>
          <w:ilvl w:val="0"/>
          <w:numId w:val="23"/>
        </w:numPr>
      </w:pPr>
      <w:r w:rsidRPr="00302AFB">
        <w:t>uncontrolled deployment of emerging technologies; or</w:t>
      </w:r>
    </w:p>
    <w:p w14:paraId="39FFBED2" w14:textId="77777777" w:rsidR="00302AFB" w:rsidRPr="00302AFB" w:rsidRDefault="00302AFB" w:rsidP="00302AFB">
      <w:pPr>
        <w:numPr>
          <w:ilvl w:val="0"/>
          <w:numId w:val="23"/>
        </w:numPr>
      </w:pPr>
      <w:r w:rsidRPr="00302AFB">
        <w:t>material technology failures affecting customers or operations.</w:t>
      </w:r>
    </w:p>
    <w:p w14:paraId="234846BF" w14:textId="77777777" w:rsidR="00302AFB" w:rsidRPr="00302AFB" w:rsidRDefault="00302AFB" w:rsidP="00302AFB">
      <w:r w:rsidRPr="00302AFB">
        <w:t>The Bank will apply enhanced governance to material technology transformation and emerging technology initiatives.</w:t>
      </w:r>
    </w:p>
    <w:p w14:paraId="26CED9AA" w14:textId="77777777" w:rsidR="00302AFB" w:rsidRPr="00302AFB" w:rsidRDefault="00302AFB" w:rsidP="00302AFB">
      <w:r w:rsidRPr="00302AFB">
        <w:pict w14:anchorId="3229DA43">
          <v:rect id="_x0000_i1164" style="width:0;height:1.5pt" o:hralign="center" o:hrstd="t" o:hr="t" fillcolor="#a0a0a0" stroked="f"/>
        </w:pict>
      </w:r>
    </w:p>
    <w:p w14:paraId="68812526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6.8 Financial Crime Risk</w:t>
      </w:r>
    </w:p>
    <w:p w14:paraId="3D7B0D34" w14:textId="77777777" w:rsidR="00302AFB" w:rsidRPr="00302AFB" w:rsidRDefault="00302AFB" w:rsidP="00302AFB">
      <w:r w:rsidRPr="00302AFB">
        <w:t>The Bank has a very low appetite for breaches relating to:</w:t>
      </w:r>
    </w:p>
    <w:p w14:paraId="34B65B09" w14:textId="77777777" w:rsidR="00302AFB" w:rsidRPr="00302AFB" w:rsidRDefault="00302AFB" w:rsidP="00302AFB">
      <w:pPr>
        <w:numPr>
          <w:ilvl w:val="0"/>
          <w:numId w:val="24"/>
        </w:numPr>
      </w:pPr>
      <w:r w:rsidRPr="00302AFB">
        <w:t>anti-money laundering;</w:t>
      </w:r>
    </w:p>
    <w:p w14:paraId="52CF2543" w14:textId="77777777" w:rsidR="00302AFB" w:rsidRPr="00302AFB" w:rsidRDefault="00302AFB" w:rsidP="00302AFB">
      <w:pPr>
        <w:numPr>
          <w:ilvl w:val="0"/>
          <w:numId w:val="24"/>
        </w:numPr>
      </w:pPr>
      <w:r w:rsidRPr="00302AFB">
        <w:t>sanctions compliance;</w:t>
      </w:r>
    </w:p>
    <w:p w14:paraId="6FD54FA2" w14:textId="77777777" w:rsidR="00302AFB" w:rsidRPr="00302AFB" w:rsidRDefault="00302AFB" w:rsidP="00302AFB">
      <w:pPr>
        <w:numPr>
          <w:ilvl w:val="0"/>
          <w:numId w:val="24"/>
        </w:numPr>
      </w:pPr>
      <w:r w:rsidRPr="00302AFB">
        <w:t>bribery and corruption;</w:t>
      </w:r>
    </w:p>
    <w:p w14:paraId="655CE0F3" w14:textId="77777777" w:rsidR="00302AFB" w:rsidRPr="00302AFB" w:rsidRDefault="00302AFB" w:rsidP="00302AFB">
      <w:pPr>
        <w:numPr>
          <w:ilvl w:val="0"/>
          <w:numId w:val="24"/>
        </w:numPr>
      </w:pPr>
      <w:r w:rsidRPr="00302AFB">
        <w:t>fraud prevention obligations; or</w:t>
      </w:r>
    </w:p>
    <w:p w14:paraId="372EC815" w14:textId="77777777" w:rsidR="00302AFB" w:rsidRPr="00302AFB" w:rsidRDefault="00302AFB" w:rsidP="00302AFB">
      <w:pPr>
        <w:numPr>
          <w:ilvl w:val="0"/>
          <w:numId w:val="24"/>
        </w:numPr>
      </w:pPr>
      <w:r w:rsidRPr="00302AFB">
        <w:t>terrorist financing.</w:t>
      </w:r>
    </w:p>
    <w:p w14:paraId="18BEA67F" w14:textId="77777777" w:rsidR="00302AFB" w:rsidRPr="00302AFB" w:rsidRDefault="00302AFB" w:rsidP="00302AFB">
      <w:r w:rsidRPr="00302AFB">
        <w:t>The Bank seeks to maintain robust financial crime controls and governance arrangements.</w:t>
      </w:r>
    </w:p>
    <w:p w14:paraId="650619F2" w14:textId="77777777" w:rsidR="00302AFB" w:rsidRPr="00302AFB" w:rsidRDefault="00302AFB" w:rsidP="00302AFB">
      <w:r w:rsidRPr="00302AFB">
        <w:t>The Bank may decline business relationships or activities where financial crime risks cannot be adequately mitigated.</w:t>
      </w:r>
    </w:p>
    <w:p w14:paraId="361E4184" w14:textId="77777777" w:rsidR="00302AFB" w:rsidRPr="00302AFB" w:rsidRDefault="00302AFB" w:rsidP="00302AFB">
      <w:r w:rsidRPr="00302AFB">
        <w:pict w14:anchorId="0AA6FCDB">
          <v:rect id="_x0000_i1165" style="width:0;height:1.5pt" o:hralign="center" o:hrstd="t" o:hr="t" fillcolor="#a0a0a0" stroked="f"/>
        </w:pict>
      </w:r>
    </w:p>
    <w:p w14:paraId="41C42E4F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6.9 Regulatory and Compliance Risk</w:t>
      </w:r>
    </w:p>
    <w:p w14:paraId="1E315FDF" w14:textId="77777777" w:rsidR="00302AFB" w:rsidRPr="00302AFB" w:rsidRDefault="00302AFB" w:rsidP="00302AFB">
      <w:r w:rsidRPr="00302AFB">
        <w:lastRenderedPageBreak/>
        <w:t>The Bank has a low appetite for material regulatory breaches or failures to meet regulatory expectations.</w:t>
      </w:r>
    </w:p>
    <w:p w14:paraId="6737B950" w14:textId="77777777" w:rsidR="00302AFB" w:rsidRPr="00302AFB" w:rsidRDefault="00302AFB" w:rsidP="00302AFB">
      <w:r w:rsidRPr="00302AFB">
        <w:t>The Bank seeks to:</w:t>
      </w:r>
    </w:p>
    <w:p w14:paraId="5FCD20F4" w14:textId="77777777" w:rsidR="00302AFB" w:rsidRPr="00302AFB" w:rsidRDefault="00302AFB" w:rsidP="00302AFB">
      <w:pPr>
        <w:numPr>
          <w:ilvl w:val="0"/>
          <w:numId w:val="25"/>
        </w:numPr>
      </w:pPr>
      <w:r w:rsidRPr="00302AFB">
        <w:t>maintain open and constructive relationships with regulators;</w:t>
      </w:r>
    </w:p>
    <w:p w14:paraId="5B762A3F" w14:textId="77777777" w:rsidR="00302AFB" w:rsidRPr="00302AFB" w:rsidRDefault="00302AFB" w:rsidP="00302AFB">
      <w:pPr>
        <w:numPr>
          <w:ilvl w:val="0"/>
          <w:numId w:val="25"/>
        </w:numPr>
      </w:pPr>
      <w:r w:rsidRPr="00302AFB">
        <w:t>identify regulatory developments proactively;</w:t>
      </w:r>
    </w:p>
    <w:p w14:paraId="5F3FAB85" w14:textId="77777777" w:rsidR="00302AFB" w:rsidRPr="00302AFB" w:rsidRDefault="00302AFB" w:rsidP="00302AFB">
      <w:pPr>
        <w:numPr>
          <w:ilvl w:val="0"/>
          <w:numId w:val="25"/>
        </w:numPr>
      </w:pPr>
      <w:r w:rsidRPr="00302AFB">
        <w:t>remediate issues promptly; and</w:t>
      </w:r>
    </w:p>
    <w:p w14:paraId="28A3F817" w14:textId="77777777" w:rsidR="00302AFB" w:rsidRPr="00302AFB" w:rsidRDefault="00302AFB" w:rsidP="00302AFB">
      <w:pPr>
        <w:numPr>
          <w:ilvl w:val="0"/>
          <w:numId w:val="25"/>
        </w:numPr>
      </w:pPr>
      <w:r w:rsidRPr="00302AFB">
        <w:t>maintain effective compliance arrangements.</w:t>
      </w:r>
    </w:p>
    <w:p w14:paraId="35715DFA" w14:textId="77777777" w:rsidR="00302AFB" w:rsidRPr="00302AFB" w:rsidRDefault="00302AFB" w:rsidP="00302AFB">
      <w:r w:rsidRPr="00302AFB">
        <w:t>The Bank recognises that regulatory breaches may result in:</w:t>
      </w:r>
    </w:p>
    <w:p w14:paraId="592F0E92" w14:textId="77777777" w:rsidR="00302AFB" w:rsidRPr="00302AFB" w:rsidRDefault="00302AFB" w:rsidP="00302AFB">
      <w:pPr>
        <w:numPr>
          <w:ilvl w:val="0"/>
          <w:numId w:val="26"/>
        </w:numPr>
      </w:pPr>
      <w:r w:rsidRPr="00302AFB">
        <w:t>customer harm;</w:t>
      </w:r>
    </w:p>
    <w:p w14:paraId="7D4ECD34" w14:textId="77777777" w:rsidR="00302AFB" w:rsidRPr="00302AFB" w:rsidRDefault="00302AFB" w:rsidP="00302AFB">
      <w:pPr>
        <w:numPr>
          <w:ilvl w:val="0"/>
          <w:numId w:val="26"/>
        </w:numPr>
      </w:pPr>
      <w:r w:rsidRPr="00302AFB">
        <w:t>reputational damage;</w:t>
      </w:r>
    </w:p>
    <w:p w14:paraId="53233FBF" w14:textId="77777777" w:rsidR="00302AFB" w:rsidRPr="00302AFB" w:rsidRDefault="00302AFB" w:rsidP="00302AFB">
      <w:pPr>
        <w:numPr>
          <w:ilvl w:val="0"/>
          <w:numId w:val="26"/>
        </w:numPr>
      </w:pPr>
      <w:r w:rsidRPr="00302AFB">
        <w:t>financial penalties; and</w:t>
      </w:r>
    </w:p>
    <w:p w14:paraId="0A5165F8" w14:textId="77777777" w:rsidR="00302AFB" w:rsidRPr="00302AFB" w:rsidRDefault="00302AFB" w:rsidP="00302AFB">
      <w:pPr>
        <w:numPr>
          <w:ilvl w:val="0"/>
          <w:numId w:val="26"/>
        </w:numPr>
      </w:pPr>
      <w:r w:rsidRPr="00302AFB">
        <w:t>increased regulatory scrutiny.</w:t>
      </w:r>
    </w:p>
    <w:p w14:paraId="6FC19DED" w14:textId="77777777" w:rsidR="00302AFB" w:rsidRPr="00302AFB" w:rsidRDefault="00302AFB" w:rsidP="00302AFB">
      <w:r w:rsidRPr="00302AFB">
        <w:pict w14:anchorId="433F2018">
          <v:rect id="_x0000_i1166" style="width:0;height:1.5pt" o:hralign="center" o:hrstd="t" o:hr="t" fillcolor="#a0a0a0" stroked="f"/>
        </w:pict>
      </w:r>
    </w:p>
    <w:p w14:paraId="71D48E32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6.10 Reputational Risk</w:t>
      </w:r>
    </w:p>
    <w:p w14:paraId="0260132C" w14:textId="77777777" w:rsidR="00302AFB" w:rsidRPr="00302AFB" w:rsidRDefault="00302AFB" w:rsidP="00302AFB">
      <w:r w:rsidRPr="00302AFB">
        <w:t>The Bank has a low appetite for activities likely to materially damage customer trust, market confidence or regulatory credibility.</w:t>
      </w:r>
    </w:p>
    <w:p w14:paraId="3ACC2DF7" w14:textId="77777777" w:rsidR="00302AFB" w:rsidRPr="00302AFB" w:rsidRDefault="00302AFB" w:rsidP="00302AFB">
      <w:r w:rsidRPr="00302AFB">
        <w:t>The Bank seeks to maintain a reputation for:</w:t>
      </w:r>
    </w:p>
    <w:p w14:paraId="460C324D" w14:textId="77777777" w:rsidR="00302AFB" w:rsidRPr="00302AFB" w:rsidRDefault="00302AFB" w:rsidP="00302AFB">
      <w:pPr>
        <w:numPr>
          <w:ilvl w:val="0"/>
          <w:numId w:val="27"/>
        </w:numPr>
      </w:pPr>
      <w:r w:rsidRPr="00302AFB">
        <w:t>prudent banking;</w:t>
      </w:r>
    </w:p>
    <w:p w14:paraId="5CF28F16" w14:textId="77777777" w:rsidR="00302AFB" w:rsidRPr="00302AFB" w:rsidRDefault="00302AFB" w:rsidP="00302AFB">
      <w:pPr>
        <w:numPr>
          <w:ilvl w:val="0"/>
          <w:numId w:val="27"/>
        </w:numPr>
      </w:pPr>
      <w:r w:rsidRPr="00302AFB">
        <w:t>fair treatment of customers;</w:t>
      </w:r>
    </w:p>
    <w:p w14:paraId="60681409" w14:textId="77777777" w:rsidR="00302AFB" w:rsidRPr="00302AFB" w:rsidRDefault="00302AFB" w:rsidP="00302AFB">
      <w:pPr>
        <w:numPr>
          <w:ilvl w:val="0"/>
          <w:numId w:val="27"/>
        </w:numPr>
      </w:pPr>
      <w:r w:rsidRPr="00302AFB">
        <w:t>operational reliability; and</w:t>
      </w:r>
    </w:p>
    <w:p w14:paraId="13D57D55" w14:textId="77777777" w:rsidR="00302AFB" w:rsidRPr="00302AFB" w:rsidRDefault="00302AFB" w:rsidP="00302AFB">
      <w:pPr>
        <w:numPr>
          <w:ilvl w:val="0"/>
          <w:numId w:val="27"/>
        </w:numPr>
      </w:pPr>
      <w:r w:rsidRPr="00302AFB">
        <w:t>responsible business conduct.</w:t>
      </w:r>
    </w:p>
    <w:p w14:paraId="0035D41D" w14:textId="77777777" w:rsidR="00302AFB" w:rsidRPr="00302AFB" w:rsidRDefault="00302AFB" w:rsidP="00302AFB">
      <w:r w:rsidRPr="00302AFB">
        <w:t>Reputational considerations should form part of material business and product decisions.</w:t>
      </w:r>
    </w:p>
    <w:p w14:paraId="2C1712C9" w14:textId="77777777" w:rsidR="00302AFB" w:rsidRPr="00302AFB" w:rsidRDefault="00302AFB" w:rsidP="00302AFB">
      <w:r w:rsidRPr="00302AFB">
        <w:pict w14:anchorId="67BF1DF2">
          <v:rect id="_x0000_i1167" style="width:0;height:1.5pt" o:hralign="center" o:hrstd="t" o:hr="t" fillcolor="#a0a0a0" stroked="f"/>
        </w:pict>
      </w:r>
    </w:p>
    <w:p w14:paraId="0C386FFB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6.11 Third-Party and Outsourcing Risk</w:t>
      </w:r>
    </w:p>
    <w:p w14:paraId="6C2CB291" w14:textId="77777777" w:rsidR="00302AFB" w:rsidRPr="00302AFB" w:rsidRDefault="00302AFB" w:rsidP="00302AFB">
      <w:r w:rsidRPr="00302AFB">
        <w:t>The Bank has a moderate appetite for outsourcing arrangements where these support operational effectiveness and customer service.</w:t>
      </w:r>
    </w:p>
    <w:p w14:paraId="09CB6256" w14:textId="77777777" w:rsidR="00302AFB" w:rsidRPr="00302AFB" w:rsidRDefault="00302AFB" w:rsidP="00302AFB">
      <w:r w:rsidRPr="00302AFB">
        <w:t>The Bank has low appetite for:</w:t>
      </w:r>
    </w:p>
    <w:p w14:paraId="5A8821E1" w14:textId="77777777" w:rsidR="00302AFB" w:rsidRPr="00302AFB" w:rsidRDefault="00302AFB" w:rsidP="00302AFB">
      <w:pPr>
        <w:numPr>
          <w:ilvl w:val="0"/>
          <w:numId w:val="28"/>
        </w:numPr>
      </w:pPr>
      <w:r w:rsidRPr="00302AFB">
        <w:t>excessive dependency on individual suppliers;</w:t>
      </w:r>
    </w:p>
    <w:p w14:paraId="3388AE20" w14:textId="77777777" w:rsidR="00302AFB" w:rsidRPr="00302AFB" w:rsidRDefault="00302AFB" w:rsidP="00302AFB">
      <w:pPr>
        <w:numPr>
          <w:ilvl w:val="0"/>
          <w:numId w:val="28"/>
        </w:numPr>
      </w:pPr>
      <w:r w:rsidRPr="00302AFB">
        <w:lastRenderedPageBreak/>
        <w:t>outsourcing arrangements lacking appropriate oversight;</w:t>
      </w:r>
    </w:p>
    <w:p w14:paraId="1D8CBEFE" w14:textId="77777777" w:rsidR="00302AFB" w:rsidRPr="00302AFB" w:rsidRDefault="00302AFB" w:rsidP="00302AFB">
      <w:pPr>
        <w:numPr>
          <w:ilvl w:val="0"/>
          <w:numId w:val="28"/>
        </w:numPr>
      </w:pPr>
      <w:r w:rsidRPr="00302AFB">
        <w:t>inadequate contractual protections; or</w:t>
      </w:r>
    </w:p>
    <w:p w14:paraId="3B87E70C" w14:textId="77777777" w:rsidR="00302AFB" w:rsidRPr="00302AFB" w:rsidRDefault="00302AFB" w:rsidP="00302AFB">
      <w:pPr>
        <w:numPr>
          <w:ilvl w:val="0"/>
          <w:numId w:val="28"/>
        </w:numPr>
      </w:pPr>
      <w:r w:rsidRPr="00302AFB">
        <w:t>third-party arrangements that could materially impair operational resilience or customer outcomes.</w:t>
      </w:r>
    </w:p>
    <w:p w14:paraId="67B789DA" w14:textId="77777777" w:rsidR="00302AFB" w:rsidRPr="00302AFB" w:rsidRDefault="00302AFB" w:rsidP="00302AFB">
      <w:r w:rsidRPr="00302AFB">
        <w:t>Critical outsourcing arrangements should be subject to enhanced oversight and contingency planning.</w:t>
      </w:r>
    </w:p>
    <w:p w14:paraId="07306FE0" w14:textId="77777777" w:rsidR="00302AFB" w:rsidRPr="00302AFB" w:rsidRDefault="00302AFB" w:rsidP="00302AFB">
      <w:r w:rsidRPr="00302AFB">
        <w:pict w14:anchorId="29ECB5F7">
          <v:rect id="_x0000_i1168" style="width:0;height:1.5pt" o:hralign="center" o:hrstd="t" o:hr="t" fillcolor="#a0a0a0" stroked="f"/>
        </w:pict>
      </w:r>
    </w:p>
    <w:p w14:paraId="6840ABA1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6.12 People and Culture Risk</w:t>
      </w:r>
    </w:p>
    <w:p w14:paraId="140535BA" w14:textId="77777777" w:rsidR="00302AFB" w:rsidRPr="00302AFB" w:rsidRDefault="00302AFB" w:rsidP="00302AFB">
      <w:r w:rsidRPr="00302AFB">
        <w:t>The Bank recognises that culture, leadership and employee behaviour are critical to prudent risk management and customer outcomes.</w:t>
      </w:r>
    </w:p>
    <w:p w14:paraId="26EAEC2D" w14:textId="77777777" w:rsidR="00302AFB" w:rsidRPr="00302AFB" w:rsidRDefault="00302AFB" w:rsidP="00302AFB">
      <w:r w:rsidRPr="00302AFB">
        <w:t>The Bank seeks to:</w:t>
      </w:r>
    </w:p>
    <w:p w14:paraId="1D733864" w14:textId="77777777" w:rsidR="00302AFB" w:rsidRPr="00302AFB" w:rsidRDefault="00302AFB" w:rsidP="00302AFB">
      <w:pPr>
        <w:numPr>
          <w:ilvl w:val="0"/>
          <w:numId w:val="29"/>
        </w:numPr>
      </w:pPr>
      <w:r w:rsidRPr="00302AFB">
        <w:t>promote responsible and customer-focused behaviours;</w:t>
      </w:r>
    </w:p>
    <w:p w14:paraId="68471716" w14:textId="77777777" w:rsidR="00302AFB" w:rsidRPr="00302AFB" w:rsidRDefault="00302AFB" w:rsidP="00302AFB">
      <w:pPr>
        <w:numPr>
          <w:ilvl w:val="0"/>
          <w:numId w:val="29"/>
        </w:numPr>
      </w:pPr>
      <w:r w:rsidRPr="00302AFB">
        <w:t>maintain appropriate accountability;</w:t>
      </w:r>
    </w:p>
    <w:p w14:paraId="0A4DA121" w14:textId="77777777" w:rsidR="00302AFB" w:rsidRPr="00302AFB" w:rsidRDefault="00302AFB" w:rsidP="00302AFB">
      <w:pPr>
        <w:numPr>
          <w:ilvl w:val="0"/>
          <w:numId w:val="29"/>
        </w:numPr>
      </w:pPr>
      <w:r w:rsidRPr="00302AFB">
        <w:t>support effective challenge and escalation; and</w:t>
      </w:r>
    </w:p>
    <w:p w14:paraId="5F2B254F" w14:textId="77777777" w:rsidR="00302AFB" w:rsidRPr="00302AFB" w:rsidRDefault="00302AFB" w:rsidP="00302AFB">
      <w:pPr>
        <w:numPr>
          <w:ilvl w:val="0"/>
          <w:numId w:val="29"/>
        </w:numPr>
      </w:pPr>
      <w:r w:rsidRPr="00302AFB">
        <w:t>ensure employees understand relevant conduct and risk expectations.</w:t>
      </w:r>
    </w:p>
    <w:p w14:paraId="15433BFE" w14:textId="77777777" w:rsidR="00302AFB" w:rsidRPr="00302AFB" w:rsidRDefault="00302AFB" w:rsidP="00302AFB">
      <w:r w:rsidRPr="00302AFB">
        <w:t>The Bank has low appetite for:</w:t>
      </w:r>
    </w:p>
    <w:p w14:paraId="4F612F27" w14:textId="77777777" w:rsidR="00302AFB" w:rsidRPr="00302AFB" w:rsidRDefault="00302AFB" w:rsidP="00302AFB">
      <w:pPr>
        <w:numPr>
          <w:ilvl w:val="0"/>
          <w:numId w:val="30"/>
        </w:numPr>
      </w:pPr>
      <w:r w:rsidRPr="00302AFB">
        <w:t>inappropriate incentive structures;</w:t>
      </w:r>
    </w:p>
    <w:p w14:paraId="5E5AC7A1" w14:textId="77777777" w:rsidR="00302AFB" w:rsidRPr="00302AFB" w:rsidRDefault="00302AFB" w:rsidP="00302AFB">
      <w:pPr>
        <w:numPr>
          <w:ilvl w:val="0"/>
          <w:numId w:val="30"/>
        </w:numPr>
      </w:pPr>
      <w:r w:rsidRPr="00302AFB">
        <w:t>behaviours inconsistent with the Bank’s values;</w:t>
      </w:r>
    </w:p>
    <w:p w14:paraId="5BA94ADF" w14:textId="77777777" w:rsidR="00302AFB" w:rsidRPr="00302AFB" w:rsidRDefault="00302AFB" w:rsidP="00302AFB">
      <w:pPr>
        <w:numPr>
          <w:ilvl w:val="0"/>
          <w:numId w:val="30"/>
        </w:numPr>
      </w:pPr>
      <w:r w:rsidRPr="00302AFB">
        <w:t>suppression of challenge or escalation; or</w:t>
      </w:r>
    </w:p>
    <w:p w14:paraId="08AA2F9F" w14:textId="77777777" w:rsidR="00302AFB" w:rsidRPr="00302AFB" w:rsidRDefault="00302AFB" w:rsidP="00302AFB">
      <w:pPr>
        <w:numPr>
          <w:ilvl w:val="0"/>
          <w:numId w:val="30"/>
        </w:numPr>
      </w:pPr>
      <w:r w:rsidRPr="00302AFB">
        <w:t>material capability gaps in key control functions.</w:t>
      </w:r>
    </w:p>
    <w:p w14:paraId="03F19BBD" w14:textId="77777777" w:rsidR="00302AFB" w:rsidRPr="00302AFB" w:rsidRDefault="00302AFB" w:rsidP="00302AFB">
      <w:r w:rsidRPr="00302AFB">
        <w:pict w14:anchorId="790D9187">
          <v:rect id="_x0000_i1169" style="width:0;height:1.5pt" o:hralign="center" o:hrstd="t" o:hr="t" fillcolor="#a0a0a0" stroked="f"/>
        </w:pict>
      </w:r>
    </w:p>
    <w:p w14:paraId="66F0653E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7. New Business Activities and Strategic Change</w:t>
      </w:r>
    </w:p>
    <w:p w14:paraId="2F68F595" w14:textId="77777777" w:rsidR="00302AFB" w:rsidRPr="00302AFB" w:rsidRDefault="00302AFB" w:rsidP="00302AFB">
      <w:r w:rsidRPr="00302AFB">
        <w:t>The Bank has a cautious and controlled approach to:</w:t>
      </w:r>
    </w:p>
    <w:p w14:paraId="68A22AD8" w14:textId="77777777" w:rsidR="00302AFB" w:rsidRPr="00302AFB" w:rsidRDefault="00302AFB" w:rsidP="00302AFB">
      <w:pPr>
        <w:numPr>
          <w:ilvl w:val="0"/>
          <w:numId w:val="31"/>
        </w:numPr>
      </w:pPr>
      <w:r w:rsidRPr="00302AFB">
        <w:t>new product development;</w:t>
      </w:r>
    </w:p>
    <w:p w14:paraId="305298E1" w14:textId="77777777" w:rsidR="00302AFB" w:rsidRPr="00302AFB" w:rsidRDefault="00302AFB" w:rsidP="00302AFB">
      <w:pPr>
        <w:numPr>
          <w:ilvl w:val="0"/>
          <w:numId w:val="31"/>
        </w:numPr>
      </w:pPr>
      <w:r w:rsidRPr="00302AFB">
        <w:t>material acquisitions;</w:t>
      </w:r>
    </w:p>
    <w:p w14:paraId="6BBFC59B" w14:textId="77777777" w:rsidR="00302AFB" w:rsidRPr="00302AFB" w:rsidRDefault="00302AFB" w:rsidP="00302AFB">
      <w:pPr>
        <w:numPr>
          <w:ilvl w:val="0"/>
          <w:numId w:val="31"/>
        </w:numPr>
      </w:pPr>
      <w:r w:rsidRPr="00302AFB">
        <w:t>emerging technologies;</w:t>
      </w:r>
    </w:p>
    <w:p w14:paraId="370CAB4B" w14:textId="77777777" w:rsidR="00302AFB" w:rsidRPr="00302AFB" w:rsidRDefault="00302AFB" w:rsidP="00302AFB">
      <w:pPr>
        <w:numPr>
          <w:ilvl w:val="0"/>
          <w:numId w:val="31"/>
        </w:numPr>
      </w:pPr>
      <w:r w:rsidRPr="00302AFB">
        <w:t>significant outsourcing changes; and</w:t>
      </w:r>
    </w:p>
    <w:p w14:paraId="7C1429F2" w14:textId="77777777" w:rsidR="00302AFB" w:rsidRPr="00302AFB" w:rsidRDefault="00302AFB" w:rsidP="00302AFB">
      <w:pPr>
        <w:numPr>
          <w:ilvl w:val="0"/>
          <w:numId w:val="31"/>
        </w:numPr>
      </w:pPr>
      <w:r w:rsidRPr="00302AFB">
        <w:t>expansion into new business areas.</w:t>
      </w:r>
    </w:p>
    <w:p w14:paraId="2C9A109E" w14:textId="77777777" w:rsidR="00302AFB" w:rsidRPr="00302AFB" w:rsidRDefault="00302AFB" w:rsidP="00302AFB">
      <w:r w:rsidRPr="00302AFB">
        <w:t>Material strategic initiatives should:</w:t>
      </w:r>
    </w:p>
    <w:p w14:paraId="2D7C3FDC" w14:textId="77777777" w:rsidR="00302AFB" w:rsidRPr="00302AFB" w:rsidRDefault="00302AFB" w:rsidP="00302AFB">
      <w:pPr>
        <w:numPr>
          <w:ilvl w:val="0"/>
          <w:numId w:val="32"/>
        </w:numPr>
      </w:pPr>
      <w:r w:rsidRPr="00302AFB">
        <w:lastRenderedPageBreak/>
        <w:t>align with the Bank’s strategy and risk appetite;</w:t>
      </w:r>
    </w:p>
    <w:p w14:paraId="12AAB92F" w14:textId="77777777" w:rsidR="00302AFB" w:rsidRPr="00302AFB" w:rsidRDefault="00302AFB" w:rsidP="00302AFB">
      <w:pPr>
        <w:numPr>
          <w:ilvl w:val="0"/>
          <w:numId w:val="32"/>
        </w:numPr>
      </w:pPr>
      <w:r w:rsidRPr="00302AFB">
        <w:t>be supported by appropriate governance and challenge;</w:t>
      </w:r>
    </w:p>
    <w:p w14:paraId="3A8F06E2" w14:textId="77777777" w:rsidR="00302AFB" w:rsidRPr="00302AFB" w:rsidRDefault="00302AFB" w:rsidP="00302AFB">
      <w:pPr>
        <w:numPr>
          <w:ilvl w:val="0"/>
          <w:numId w:val="32"/>
        </w:numPr>
      </w:pPr>
      <w:r w:rsidRPr="00302AFB">
        <w:t>undergo appropriate risk assessment; and</w:t>
      </w:r>
    </w:p>
    <w:p w14:paraId="1C07D888" w14:textId="77777777" w:rsidR="00302AFB" w:rsidRPr="00302AFB" w:rsidRDefault="00302AFB" w:rsidP="00302AFB">
      <w:pPr>
        <w:numPr>
          <w:ilvl w:val="0"/>
          <w:numId w:val="32"/>
        </w:numPr>
      </w:pPr>
      <w:r w:rsidRPr="00302AFB">
        <w:t>demonstrate operational readiness prior to implementation.</w:t>
      </w:r>
    </w:p>
    <w:p w14:paraId="740A975E" w14:textId="77777777" w:rsidR="00302AFB" w:rsidRPr="00302AFB" w:rsidRDefault="00302AFB" w:rsidP="00302AFB">
      <w:r w:rsidRPr="00302AFB">
        <w:t>Activities outside existing business capabilities or risk appetite require Executive Committee and Board approval.</w:t>
      </w:r>
    </w:p>
    <w:p w14:paraId="555DF9AB" w14:textId="77777777" w:rsidR="00302AFB" w:rsidRPr="00302AFB" w:rsidRDefault="00302AFB" w:rsidP="00302AFB">
      <w:r w:rsidRPr="00302AFB">
        <w:pict w14:anchorId="1894EF37">
          <v:rect id="_x0000_i1170" style="width:0;height:1.5pt" o:hralign="center" o:hrstd="t" o:hr="t" fillcolor="#a0a0a0" stroked="f"/>
        </w:pict>
      </w:r>
    </w:p>
    <w:p w14:paraId="113FED2A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8. Risk Appetite Monitoring and Escalation</w:t>
      </w:r>
    </w:p>
    <w:p w14:paraId="5C7A2824" w14:textId="77777777" w:rsidR="00302AFB" w:rsidRPr="00302AFB" w:rsidRDefault="00302AFB" w:rsidP="00302AFB">
      <w:r w:rsidRPr="00302AFB">
        <w:t>Risk appetite will be monitored through:</w:t>
      </w:r>
    </w:p>
    <w:p w14:paraId="5562DCA5" w14:textId="77777777" w:rsidR="00302AFB" w:rsidRPr="00302AFB" w:rsidRDefault="00302AFB" w:rsidP="00302AFB">
      <w:pPr>
        <w:numPr>
          <w:ilvl w:val="0"/>
          <w:numId w:val="33"/>
        </w:numPr>
      </w:pPr>
      <w:r w:rsidRPr="00302AFB">
        <w:t>risk indicators;</w:t>
      </w:r>
    </w:p>
    <w:p w14:paraId="4CB7918A" w14:textId="77777777" w:rsidR="00302AFB" w:rsidRPr="00302AFB" w:rsidRDefault="00302AFB" w:rsidP="00302AFB">
      <w:pPr>
        <w:numPr>
          <w:ilvl w:val="0"/>
          <w:numId w:val="33"/>
        </w:numPr>
      </w:pPr>
      <w:r w:rsidRPr="00302AFB">
        <w:t>management information;</w:t>
      </w:r>
    </w:p>
    <w:p w14:paraId="39572EAE" w14:textId="77777777" w:rsidR="00302AFB" w:rsidRPr="00302AFB" w:rsidRDefault="00302AFB" w:rsidP="00302AFB">
      <w:pPr>
        <w:numPr>
          <w:ilvl w:val="0"/>
          <w:numId w:val="33"/>
        </w:numPr>
      </w:pPr>
      <w:r w:rsidRPr="00302AFB">
        <w:t>stress testing;</w:t>
      </w:r>
    </w:p>
    <w:p w14:paraId="60A690FE" w14:textId="77777777" w:rsidR="00302AFB" w:rsidRPr="00302AFB" w:rsidRDefault="00302AFB" w:rsidP="00302AFB">
      <w:pPr>
        <w:numPr>
          <w:ilvl w:val="0"/>
          <w:numId w:val="33"/>
        </w:numPr>
      </w:pPr>
      <w:r w:rsidRPr="00302AFB">
        <w:t>scenario analysis;</w:t>
      </w:r>
    </w:p>
    <w:p w14:paraId="71153A8F" w14:textId="77777777" w:rsidR="00302AFB" w:rsidRPr="00302AFB" w:rsidRDefault="00302AFB" w:rsidP="00302AFB">
      <w:pPr>
        <w:numPr>
          <w:ilvl w:val="0"/>
          <w:numId w:val="33"/>
        </w:numPr>
      </w:pPr>
      <w:r w:rsidRPr="00302AFB">
        <w:t>control assessments; and</w:t>
      </w:r>
    </w:p>
    <w:p w14:paraId="56747B6E" w14:textId="77777777" w:rsidR="00302AFB" w:rsidRPr="00302AFB" w:rsidRDefault="00302AFB" w:rsidP="00302AFB">
      <w:pPr>
        <w:numPr>
          <w:ilvl w:val="0"/>
          <w:numId w:val="33"/>
        </w:numPr>
      </w:pPr>
      <w:r w:rsidRPr="00302AFB">
        <w:t>governance reporting.</w:t>
      </w:r>
    </w:p>
    <w:p w14:paraId="4DB011FD" w14:textId="77777777" w:rsidR="00302AFB" w:rsidRPr="00302AFB" w:rsidRDefault="00302AFB" w:rsidP="00302AFB">
      <w:r w:rsidRPr="00302AFB">
        <w:t>Material breaches or emerging concerns must be escalated promptly through the Bank’s governance framework.</w:t>
      </w:r>
    </w:p>
    <w:p w14:paraId="76AEE761" w14:textId="77777777" w:rsidR="00302AFB" w:rsidRPr="00302AFB" w:rsidRDefault="00302AFB" w:rsidP="00302AFB">
      <w:r w:rsidRPr="00302AFB">
        <w:t>Management is responsible for:</w:t>
      </w:r>
    </w:p>
    <w:p w14:paraId="2EEF7797" w14:textId="77777777" w:rsidR="00302AFB" w:rsidRPr="00302AFB" w:rsidRDefault="00302AFB" w:rsidP="00302AFB">
      <w:pPr>
        <w:numPr>
          <w:ilvl w:val="0"/>
          <w:numId w:val="34"/>
        </w:numPr>
      </w:pPr>
      <w:r w:rsidRPr="00302AFB">
        <w:t>investigating breaches;</w:t>
      </w:r>
    </w:p>
    <w:p w14:paraId="33CB9F5E" w14:textId="77777777" w:rsidR="00302AFB" w:rsidRPr="00302AFB" w:rsidRDefault="00302AFB" w:rsidP="00302AFB">
      <w:pPr>
        <w:numPr>
          <w:ilvl w:val="0"/>
          <w:numId w:val="34"/>
        </w:numPr>
      </w:pPr>
      <w:r w:rsidRPr="00302AFB">
        <w:t>implementing remediation actions;</w:t>
      </w:r>
    </w:p>
    <w:p w14:paraId="25ADA5E0" w14:textId="77777777" w:rsidR="00302AFB" w:rsidRPr="00302AFB" w:rsidRDefault="00302AFB" w:rsidP="00302AFB">
      <w:pPr>
        <w:numPr>
          <w:ilvl w:val="0"/>
          <w:numId w:val="34"/>
        </w:numPr>
      </w:pPr>
      <w:r w:rsidRPr="00302AFB">
        <w:t>assessing root causes; and</w:t>
      </w:r>
    </w:p>
    <w:p w14:paraId="11C15C38" w14:textId="77777777" w:rsidR="00302AFB" w:rsidRPr="00302AFB" w:rsidRDefault="00302AFB" w:rsidP="00302AFB">
      <w:pPr>
        <w:numPr>
          <w:ilvl w:val="0"/>
          <w:numId w:val="34"/>
        </w:numPr>
      </w:pPr>
      <w:r w:rsidRPr="00302AFB">
        <w:t>reporting material issues to the Board Risk Committee where appropriate.</w:t>
      </w:r>
    </w:p>
    <w:p w14:paraId="41FB7BA7" w14:textId="77777777" w:rsidR="00302AFB" w:rsidRPr="00302AFB" w:rsidRDefault="00302AFB" w:rsidP="00302AFB">
      <w:r w:rsidRPr="00302AFB">
        <w:pict w14:anchorId="24A9DE89">
          <v:rect id="_x0000_i1171" style="width:0;height:1.5pt" o:hralign="center" o:hrstd="t" o:hr="t" fillcolor="#a0a0a0" stroked="f"/>
        </w:pict>
      </w:r>
    </w:p>
    <w:p w14:paraId="67C38F0E" w14:textId="77777777" w:rsidR="00302AFB" w:rsidRPr="00302AFB" w:rsidRDefault="00302AFB" w:rsidP="00302AFB">
      <w:pPr>
        <w:rPr>
          <w:b/>
          <w:bCs/>
        </w:rPr>
      </w:pPr>
      <w:r w:rsidRPr="00302AFB">
        <w:rPr>
          <w:b/>
          <w:bCs/>
        </w:rPr>
        <w:t>9. Review and Approval</w:t>
      </w:r>
    </w:p>
    <w:p w14:paraId="545400AC" w14:textId="77777777" w:rsidR="00302AFB" w:rsidRPr="00302AFB" w:rsidRDefault="00302AFB" w:rsidP="00302AFB">
      <w:r w:rsidRPr="00302AFB">
        <w:t>This Risk Appetite Statement is owned by the Chief Risk Officer and approved by the Board.</w:t>
      </w:r>
    </w:p>
    <w:p w14:paraId="35AAB89A" w14:textId="77777777" w:rsidR="00302AFB" w:rsidRPr="00302AFB" w:rsidRDefault="00302AFB" w:rsidP="00302AFB">
      <w:r w:rsidRPr="00302AFB">
        <w:t>The Statement will be reviewed at least annually, or earlier where required due to:</w:t>
      </w:r>
    </w:p>
    <w:p w14:paraId="7178B7EB" w14:textId="77777777" w:rsidR="00302AFB" w:rsidRPr="00302AFB" w:rsidRDefault="00302AFB" w:rsidP="00302AFB">
      <w:pPr>
        <w:numPr>
          <w:ilvl w:val="0"/>
          <w:numId w:val="35"/>
        </w:numPr>
      </w:pPr>
      <w:r w:rsidRPr="00302AFB">
        <w:t>strategic changes;</w:t>
      </w:r>
    </w:p>
    <w:p w14:paraId="3F34B99E" w14:textId="77777777" w:rsidR="00302AFB" w:rsidRPr="00302AFB" w:rsidRDefault="00302AFB" w:rsidP="00302AFB">
      <w:pPr>
        <w:numPr>
          <w:ilvl w:val="0"/>
          <w:numId w:val="35"/>
        </w:numPr>
      </w:pPr>
      <w:r w:rsidRPr="00302AFB">
        <w:t>material regulatory developments;</w:t>
      </w:r>
    </w:p>
    <w:p w14:paraId="64C1B6FE" w14:textId="77777777" w:rsidR="00302AFB" w:rsidRPr="00302AFB" w:rsidRDefault="00302AFB" w:rsidP="00302AFB">
      <w:pPr>
        <w:numPr>
          <w:ilvl w:val="0"/>
          <w:numId w:val="35"/>
        </w:numPr>
      </w:pPr>
      <w:r w:rsidRPr="00302AFB">
        <w:lastRenderedPageBreak/>
        <w:t>significant risk events;</w:t>
      </w:r>
    </w:p>
    <w:p w14:paraId="76960AE2" w14:textId="77777777" w:rsidR="00302AFB" w:rsidRPr="00302AFB" w:rsidRDefault="00302AFB" w:rsidP="00302AFB">
      <w:pPr>
        <w:numPr>
          <w:ilvl w:val="0"/>
          <w:numId w:val="35"/>
        </w:numPr>
      </w:pPr>
      <w:r w:rsidRPr="00302AFB">
        <w:t>changes to the Bank’s operating model; or</w:t>
      </w:r>
    </w:p>
    <w:p w14:paraId="752C6D6B" w14:textId="77777777" w:rsidR="00302AFB" w:rsidRPr="00302AFB" w:rsidRDefault="00302AFB" w:rsidP="00302AFB">
      <w:pPr>
        <w:numPr>
          <w:ilvl w:val="0"/>
          <w:numId w:val="35"/>
        </w:numPr>
      </w:pPr>
      <w:r w:rsidRPr="00302AFB">
        <w:t>material changes to the external environment.</w:t>
      </w:r>
    </w:p>
    <w:p w14:paraId="7F158748" w14:textId="77777777" w:rsidR="00E848AA" w:rsidRDefault="00E848AA"/>
    <w:sectPr w:rsidR="00E84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4BB"/>
    <w:multiLevelType w:val="multilevel"/>
    <w:tmpl w:val="6D5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02D62"/>
    <w:multiLevelType w:val="multilevel"/>
    <w:tmpl w:val="8C6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A7F31"/>
    <w:multiLevelType w:val="multilevel"/>
    <w:tmpl w:val="820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63EF8"/>
    <w:multiLevelType w:val="multilevel"/>
    <w:tmpl w:val="D14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5445B"/>
    <w:multiLevelType w:val="multilevel"/>
    <w:tmpl w:val="33C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8241A"/>
    <w:multiLevelType w:val="multilevel"/>
    <w:tmpl w:val="405C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23BD3"/>
    <w:multiLevelType w:val="multilevel"/>
    <w:tmpl w:val="B552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D26A4"/>
    <w:multiLevelType w:val="multilevel"/>
    <w:tmpl w:val="2C36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47379"/>
    <w:multiLevelType w:val="multilevel"/>
    <w:tmpl w:val="9140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D6454"/>
    <w:multiLevelType w:val="multilevel"/>
    <w:tmpl w:val="4E8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B7880"/>
    <w:multiLevelType w:val="multilevel"/>
    <w:tmpl w:val="30BA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20ECE"/>
    <w:multiLevelType w:val="multilevel"/>
    <w:tmpl w:val="54F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51692"/>
    <w:multiLevelType w:val="multilevel"/>
    <w:tmpl w:val="0F78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8214D"/>
    <w:multiLevelType w:val="multilevel"/>
    <w:tmpl w:val="8A6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40721"/>
    <w:multiLevelType w:val="multilevel"/>
    <w:tmpl w:val="5E7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A2510"/>
    <w:multiLevelType w:val="multilevel"/>
    <w:tmpl w:val="3EBC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F7FA4"/>
    <w:multiLevelType w:val="multilevel"/>
    <w:tmpl w:val="3668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F6FF1"/>
    <w:multiLevelType w:val="multilevel"/>
    <w:tmpl w:val="6320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37E97"/>
    <w:multiLevelType w:val="multilevel"/>
    <w:tmpl w:val="61A0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45271"/>
    <w:multiLevelType w:val="multilevel"/>
    <w:tmpl w:val="EAA6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C1477"/>
    <w:multiLevelType w:val="multilevel"/>
    <w:tmpl w:val="B830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3642B"/>
    <w:multiLevelType w:val="multilevel"/>
    <w:tmpl w:val="0E1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47C00"/>
    <w:multiLevelType w:val="multilevel"/>
    <w:tmpl w:val="CA1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D439A"/>
    <w:multiLevelType w:val="multilevel"/>
    <w:tmpl w:val="3D26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335112"/>
    <w:multiLevelType w:val="multilevel"/>
    <w:tmpl w:val="A942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E1250"/>
    <w:multiLevelType w:val="multilevel"/>
    <w:tmpl w:val="50C0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35445"/>
    <w:multiLevelType w:val="multilevel"/>
    <w:tmpl w:val="2C16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B3035"/>
    <w:multiLevelType w:val="multilevel"/>
    <w:tmpl w:val="5F64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4834E9"/>
    <w:multiLevelType w:val="multilevel"/>
    <w:tmpl w:val="072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8D5FD2"/>
    <w:multiLevelType w:val="multilevel"/>
    <w:tmpl w:val="8218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22738"/>
    <w:multiLevelType w:val="multilevel"/>
    <w:tmpl w:val="92B8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D6CDF"/>
    <w:multiLevelType w:val="multilevel"/>
    <w:tmpl w:val="FC98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177A"/>
    <w:multiLevelType w:val="multilevel"/>
    <w:tmpl w:val="B77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B4869"/>
    <w:multiLevelType w:val="multilevel"/>
    <w:tmpl w:val="50C2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7561B"/>
    <w:multiLevelType w:val="multilevel"/>
    <w:tmpl w:val="08EC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512698">
    <w:abstractNumId w:val="33"/>
  </w:num>
  <w:num w:numId="2" w16cid:durableId="764806364">
    <w:abstractNumId w:val="22"/>
  </w:num>
  <w:num w:numId="3" w16cid:durableId="1247589">
    <w:abstractNumId w:val="6"/>
  </w:num>
  <w:num w:numId="4" w16cid:durableId="1319462776">
    <w:abstractNumId w:val="8"/>
  </w:num>
  <w:num w:numId="5" w16cid:durableId="982388035">
    <w:abstractNumId w:val="18"/>
  </w:num>
  <w:num w:numId="6" w16cid:durableId="672489150">
    <w:abstractNumId w:val="5"/>
  </w:num>
  <w:num w:numId="7" w16cid:durableId="1035278188">
    <w:abstractNumId w:val="27"/>
  </w:num>
  <w:num w:numId="8" w16cid:durableId="665743508">
    <w:abstractNumId w:val="13"/>
  </w:num>
  <w:num w:numId="9" w16cid:durableId="36248813">
    <w:abstractNumId w:val="19"/>
  </w:num>
  <w:num w:numId="10" w16cid:durableId="1357075235">
    <w:abstractNumId w:val="31"/>
  </w:num>
  <w:num w:numId="11" w16cid:durableId="1171870579">
    <w:abstractNumId w:val="10"/>
  </w:num>
  <w:num w:numId="12" w16cid:durableId="1364405849">
    <w:abstractNumId w:val="15"/>
  </w:num>
  <w:num w:numId="13" w16cid:durableId="207449488">
    <w:abstractNumId w:val="25"/>
  </w:num>
  <w:num w:numId="14" w16cid:durableId="1396583090">
    <w:abstractNumId w:val="2"/>
  </w:num>
  <w:num w:numId="15" w16cid:durableId="1184592650">
    <w:abstractNumId w:val="14"/>
  </w:num>
  <w:num w:numId="16" w16cid:durableId="641085043">
    <w:abstractNumId w:val="3"/>
  </w:num>
  <w:num w:numId="17" w16cid:durableId="403067635">
    <w:abstractNumId w:val="16"/>
  </w:num>
  <w:num w:numId="18" w16cid:durableId="953562156">
    <w:abstractNumId w:val="0"/>
  </w:num>
  <w:num w:numId="19" w16cid:durableId="362023499">
    <w:abstractNumId w:val="17"/>
  </w:num>
  <w:num w:numId="20" w16cid:durableId="2022471453">
    <w:abstractNumId w:val="1"/>
  </w:num>
  <w:num w:numId="21" w16cid:durableId="1038702838">
    <w:abstractNumId w:val="26"/>
  </w:num>
  <w:num w:numId="22" w16cid:durableId="136996921">
    <w:abstractNumId w:val="7"/>
  </w:num>
  <w:num w:numId="23" w16cid:durableId="880438654">
    <w:abstractNumId w:val="12"/>
  </w:num>
  <w:num w:numId="24" w16cid:durableId="570585365">
    <w:abstractNumId w:val="21"/>
  </w:num>
  <w:num w:numId="25" w16cid:durableId="1585914409">
    <w:abstractNumId w:val="4"/>
  </w:num>
  <w:num w:numId="26" w16cid:durableId="288752731">
    <w:abstractNumId w:val="11"/>
  </w:num>
  <w:num w:numId="27" w16cid:durableId="1240141653">
    <w:abstractNumId w:val="24"/>
  </w:num>
  <w:num w:numId="28" w16cid:durableId="1752388525">
    <w:abstractNumId w:val="30"/>
  </w:num>
  <w:num w:numId="29" w16cid:durableId="89552368">
    <w:abstractNumId w:val="28"/>
  </w:num>
  <w:num w:numId="30" w16cid:durableId="955331917">
    <w:abstractNumId w:val="20"/>
  </w:num>
  <w:num w:numId="31" w16cid:durableId="430055341">
    <w:abstractNumId w:val="34"/>
  </w:num>
  <w:num w:numId="32" w16cid:durableId="355497890">
    <w:abstractNumId w:val="29"/>
  </w:num>
  <w:num w:numId="33" w16cid:durableId="1531801546">
    <w:abstractNumId w:val="23"/>
  </w:num>
  <w:num w:numId="34" w16cid:durableId="2005888261">
    <w:abstractNumId w:val="32"/>
  </w:num>
  <w:num w:numId="35" w16cid:durableId="486744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AA"/>
    <w:rsid w:val="00302AFB"/>
    <w:rsid w:val="00802743"/>
    <w:rsid w:val="00E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0F6C"/>
  <w15:chartTrackingRefBased/>
  <w15:docId w15:val="{2D576436-049B-4020-BC5C-BE79CC99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1446</Words>
  <Characters>9985</Characters>
  <Application>Microsoft Office Word</Application>
  <DocSecurity>0</DocSecurity>
  <Lines>322</Lines>
  <Paragraphs>293</Paragraphs>
  <ScaleCrop>false</ScaleCrop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Horwitz</dc:creator>
  <cp:keywords/>
  <dc:description/>
  <cp:lastModifiedBy>Brandon Horwitz</cp:lastModifiedBy>
  <cp:revision>2</cp:revision>
  <dcterms:created xsi:type="dcterms:W3CDTF">2026-05-18T10:53:00Z</dcterms:created>
  <dcterms:modified xsi:type="dcterms:W3CDTF">2026-05-18T10:53:00Z</dcterms:modified>
</cp:coreProperties>
</file>