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6F686" w14:textId="77777777" w:rsidR="004A49B1" w:rsidRPr="004A49B1" w:rsidRDefault="004A49B1" w:rsidP="004A49B1">
      <w:pPr>
        <w:rPr>
          <w:b/>
          <w:bCs/>
        </w:rPr>
      </w:pPr>
      <w:r w:rsidRPr="004A49B1">
        <w:rPr>
          <w:b/>
          <w:bCs/>
        </w:rPr>
        <w:t>XYZ Bank</w:t>
      </w:r>
    </w:p>
    <w:p w14:paraId="68BC1F8F" w14:textId="77777777" w:rsidR="004A49B1" w:rsidRPr="004A49B1" w:rsidRDefault="004A49B1" w:rsidP="004A49B1">
      <w:pPr>
        <w:rPr>
          <w:b/>
          <w:bCs/>
        </w:rPr>
      </w:pPr>
      <w:r w:rsidRPr="004A49B1">
        <w:rPr>
          <w:b/>
          <w:bCs/>
        </w:rPr>
        <w:t>Conduct Risk Framework</w:t>
      </w:r>
    </w:p>
    <w:p w14:paraId="1413A996" w14:textId="77777777" w:rsidR="004A49B1" w:rsidRPr="004A49B1" w:rsidRDefault="004A49B1" w:rsidP="004A49B1">
      <w:r w:rsidRPr="004A49B1">
        <w:pict w14:anchorId="68D7279E">
          <v:rect id="_x0000_i1145" style="width:0;height:1.5pt" o:hralign="center" o:hrstd="t" o:hr="t" fillcolor="#a0a0a0" stroked="f"/>
        </w:pict>
      </w:r>
    </w:p>
    <w:p w14:paraId="515DA3E7" w14:textId="77777777" w:rsidR="004A49B1" w:rsidRPr="004A49B1" w:rsidRDefault="004A49B1" w:rsidP="004A49B1">
      <w:pPr>
        <w:rPr>
          <w:b/>
          <w:bCs/>
        </w:rPr>
      </w:pPr>
      <w:r w:rsidRPr="004A49B1">
        <w:rPr>
          <w:b/>
          <w:bCs/>
        </w:rPr>
        <w:t>1. Purpose</w:t>
      </w:r>
    </w:p>
    <w:p w14:paraId="1065A88B" w14:textId="77777777" w:rsidR="004A49B1" w:rsidRPr="004A49B1" w:rsidRDefault="004A49B1" w:rsidP="004A49B1">
      <w:r w:rsidRPr="004A49B1">
        <w:t>This Conduct Risk Framework (“the Framework”) sets out XYZ Bank’s (“the Bank”) approach to identifying, assessing, managing, monitoring and escalating conduct risk.</w:t>
      </w:r>
    </w:p>
    <w:p w14:paraId="26FF84E2" w14:textId="77777777" w:rsidR="004A49B1" w:rsidRPr="004A49B1" w:rsidRDefault="004A49B1" w:rsidP="004A49B1">
      <w:r w:rsidRPr="004A49B1">
        <w:t>The purpose of this Framework is to:</w:t>
      </w:r>
    </w:p>
    <w:p w14:paraId="3399A845" w14:textId="77777777" w:rsidR="004A49B1" w:rsidRPr="004A49B1" w:rsidRDefault="004A49B1" w:rsidP="004A49B1">
      <w:pPr>
        <w:numPr>
          <w:ilvl w:val="0"/>
          <w:numId w:val="1"/>
        </w:numPr>
      </w:pPr>
      <w:r w:rsidRPr="004A49B1">
        <w:t>support the delivery of good customer outcomes;</w:t>
      </w:r>
    </w:p>
    <w:p w14:paraId="28D93490" w14:textId="77777777" w:rsidR="004A49B1" w:rsidRPr="004A49B1" w:rsidRDefault="004A49B1" w:rsidP="004A49B1">
      <w:pPr>
        <w:numPr>
          <w:ilvl w:val="0"/>
          <w:numId w:val="1"/>
        </w:numPr>
      </w:pPr>
      <w:r w:rsidRPr="004A49B1">
        <w:t>promote fair treatment of customers;</w:t>
      </w:r>
    </w:p>
    <w:p w14:paraId="2FC23575" w14:textId="77777777" w:rsidR="004A49B1" w:rsidRPr="004A49B1" w:rsidRDefault="004A49B1" w:rsidP="004A49B1">
      <w:pPr>
        <w:numPr>
          <w:ilvl w:val="0"/>
          <w:numId w:val="1"/>
        </w:numPr>
      </w:pPr>
      <w:r w:rsidRPr="004A49B1">
        <w:t>support compliance with applicable regulatory obligations, including Consumer Duty requirements;</w:t>
      </w:r>
    </w:p>
    <w:p w14:paraId="4889855F" w14:textId="77777777" w:rsidR="004A49B1" w:rsidRPr="004A49B1" w:rsidRDefault="004A49B1" w:rsidP="004A49B1">
      <w:pPr>
        <w:numPr>
          <w:ilvl w:val="0"/>
          <w:numId w:val="1"/>
        </w:numPr>
      </w:pPr>
      <w:r w:rsidRPr="004A49B1">
        <w:t>establish governance and accountability arrangements relating to conduct risk;</w:t>
      </w:r>
    </w:p>
    <w:p w14:paraId="5ECE6C5F" w14:textId="77777777" w:rsidR="004A49B1" w:rsidRPr="004A49B1" w:rsidRDefault="004A49B1" w:rsidP="004A49B1">
      <w:pPr>
        <w:numPr>
          <w:ilvl w:val="0"/>
          <w:numId w:val="1"/>
        </w:numPr>
      </w:pPr>
      <w:r w:rsidRPr="004A49B1">
        <w:t>support consistent identification and management of customer harm risks; and</w:t>
      </w:r>
    </w:p>
    <w:p w14:paraId="302050B4" w14:textId="77777777" w:rsidR="004A49B1" w:rsidRPr="004A49B1" w:rsidRDefault="004A49B1" w:rsidP="004A49B1">
      <w:pPr>
        <w:numPr>
          <w:ilvl w:val="0"/>
          <w:numId w:val="1"/>
        </w:numPr>
      </w:pPr>
      <w:r w:rsidRPr="004A49B1">
        <w:t>embed conduct considerations into decision-making across the Bank.</w:t>
      </w:r>
    </w:p>
    <w:p w14:paraId="62C4DB36" w14:textId="77777777" w:rsidR="004A49B1" w:rsidRPr="004A49B1" w:rsidRDefault="004A49B1" w:rsidP="004A49B1">
      <w:r w:rsidRPr="004A49B1">
        <w:t>The Framework forms part of the Bank’s wider Risk Management Framework and should be read alongside the:</w:t>
      </w:r>
    </w:p>
    <w:p w14:paraId="351A8DF2" w14:textId="77777777" w:rsidR="004A49B1" w:rsidRPr="004A49B1" w:rsidRDefault="004A49B1" w:rsidP="004A49B1">
      <w:pPr>
        <w:numPr>
          <w:ilvl w:val="0"/>
          <w:numId w:val="2"/>
        </w:numPr>
      </w:pPr>
      <w:r w:rsidRPr="004A49B1">
        <w:t>Consumer Duty Policy;</w:t>
      </w:r>
    </w:p>
    <w:p w14:paraId="56C442E5" w14:textId="77777777" w:rsidR="004A49B1" w:rsidRPr="004A49B1" w:rsidRDefault="004A49B1" w:rsidP="004A49B1">
      <w:pPr>
        <w:numPr>
          <w:ilvl w:val="0"/>
          <w:numId w:val="2"/>
        </w:numPr>
      </w:pPr>
      <w:r w:rsidRPr="004A49B1">
        <w:t>Product Governance Policy;</w:t>
      </w:r>
    </w:p>
    <w:p w14:paraId="42473E0F" w14:textId="77777777" w:rsidR="004A49B1" w:rsidRPr="004A49B1" w:rsidRDefault="004A49B1" w:rsidP="004A49B1">
      <w:pPr>
        <w:numPr>
          <w:ilvl w:val="0"/>
          <w:numId w:val="2"/>
        </w:numPr>
      </w:pPr>
      <w:r w:rsidRPr="004A49B1">
        <w:t>Risk Appetite Statement; and</w:t>
      </w:r>
    </w:p>
    <w:p w14:paraId="42248A62" w14:textId="77777777" w:rsidR="004A49B1" w:rsidRPr="004A49B1" w:rsidRDefault="004A49B1" w:rsidP="004A49B1">
      <w:pPr>
        <w:numPr>
          <w:ilvl w:val="0"/>
          <w:numId w:val="2"/>
        </w:numPr>
      </w:pPr>
      <w:r w:rsidRPr="004A49B1">
        <w:t>Complaints Handling Policy.</w:t>
      </w:r>
    </w:p>
    <w:p w14:paraId="0EDDAFA4" w14:textId="77777777" w:rsidR="004A49B1" w:rsidRPr="004A49B1" w:rsidRDefault="004A49B1" w:rsidP="004A49B1">
      <w:r w:rsidRPr="004A49B1">
        <w:pict w14:anchorId="2117CE30">
          <v:rect id="_x0000_i1146" style="width:0;height:1.5pt" o:hralign="center" o:hrstd="t" o:hr="t" fillcolor="#a0a0a0" stroked="f"/>
        </w:pict>
      </w:r>
    </w:p>
    <w:p w14:paraId="69A7D87A" w14:textId="77777777" w:rsidR="004A49B1" w:rsidRPr="004A49B1" w:rsidRDefault="004A49B1" w:rsidP="004A49B1">
      <w:pPr>
        <w:rPr>
          <w:b/>
          <w:bCs/>
        </w:rPr>
      </w:pPr>
      <w:r w:rsidRPr="004A49B1">
        <w:rPr>
          <w:b/>
          <w:bCs/>
        </w:rPr>
        <w:t>2. Scope</w:t>
      </w:r>
    </w:p>
    <w:p w14:paraId="6728BF79" w14:textId="77777777" w:rsidR="004A49B1" w:rsidRPr="004A49B1" w:rsidRDefault="004A49B1" w:rsidP="004A49B1">
      <w:r w:rsidRPr="004A49B1">
        <w:t>This Framework applies to:</w:t>
      </w:r>
    </w:p>
    <w:p w14:paraId="2146682A" w14:textId="77777777" w:rsidR="004A49B1" w:rsidRPr="004A49B1" w:rsidRDefault="004A49B1" w:rsidP="004A49B1">
      <w:pPr>
        <w:numPr>
          <w:ilvl w:val="0"/>
          <w:numId w:val="3"/>
        </w:numPr>
      </w:pPr>
      <w:r w:rsidRPr="004A49B1">
        <w:t>all retail products and services;</w:t>
      </w:r>
    </w:p>
    <w:p w14:paraId="2516D99E" w14:textId="77777777" w:rsidR="004A49B1" w:rsidRPr="004A49B1" w:rsidRDefault="004A49B1" w:rsidP="004A49B1">
      <w:pPr>
        <w:numPr>
          <w:ilvl w:val="0"/>
          <w:numId w:val="3"/>
        </w:numPr>
      </w:pPr>
      <w:r w:rsidRPr="004A49B1">
        <w:t>all customer interactions and communications;</w:t>
      </w:r>
    </w:p>
    <w:p w14:paraId="78A74B60" w14:textId="77777777" w:rsidR="004A49B1" w:rsidRPr="004A49B1" w:rsidRDefault="004A49B1" w:rsidP="004A49B1">
      <w:pPr>
        <w:numPr>
          <w:ilvl w:val="0"/>
          <w:numId w:val="3"/>
        </w:numPr>
      </w:pPr>
      <w:r w:rsidRPr="004A49B1">
        <w:t>all customer distribution and servicing activities;</w:t>
      </w:r>
    </w:p>
    <w:p w14:paraId="45039EEE" w14:textId="77777777" w:rsidR="004A49B1" w:rsidRPr="004A49B1" w:rsidRDefault="004A49B1" w:rsidP="004A49B1">
      <w:pPr>
        <w:numPr>
          <w:ilvl w:val="0"/>
          <w:numId w:val="3"/>
        </w:numPr>
      </w:pPr>
      <w:r w:rsidRPr="004A49B1">
        <w:t>all employees, contractors and business areas; and</w:t>
      </w:r>
    </w:p>
    <w:p w14:paraId="36F4F072" w14:textId="77777777" w:rsidR="004A49B1" w:rsidRPr="004A49B1" w:rsidRDefault="004A49B1" w:rsidP="004A49B1">
      <w:pPr>
        <w:numPr>
          <w:ilvl w:val="0"/>
          <w:numId w:val="3"/>
        </w:numPr>
      </w:pPr>
      <w:r w:rsidRPr="004A49B1">
        <w:t>all outsourced activities that may impact customer outcomes.</w:t>
      </w:r>
    </w:p>
    <w:p w14:paraId="6DB9130A" w14:textId="77777777" w:rsidR="004A49B1" w:rsidRPr="004A49B1" w:rsidRDefault="004A49B1" w:rsidP="004A49B1">
      <w:r w:rsidRPr="004A49B1">
        <w:t>The Framework applies throughout the customer lifecycle, including:</w:t>
      </w:r>
    </w:p>
    <w:p w14:paraId="701C475D" w14:textId="77777777" w:rsidR="004A49B1" w:rsidRPr="004A49B1" w:rsidRDefault="004A49B1" w:rsidP="004A49B1">
      <w:pPr>
        <w:numPr>
          <w:ilvl w:val="0"/>
          <w:numId w:val="4"/>
        </w:numPr>
      </w:pPr>
      <w:r w:rsidRPr="004A49B1">
        <w:lastRenderedPageBreak/>
        <w:t>product design;</w:t>
      </w:r>
    </w:p>
    <w:p w14:paraId="07EAA7CF" w14:textId="77777777" w:rsidR="004A49B1" w:rsidRPr="004A49B1" w:rsidRDefault="004A49B1" w:rsidP="004A49B1">
      <w:pPr>
        <w:numPr>
          <w:ilvl w:val="0"/>
          <w:numId w:val="4"/>
        </w:numPr>
      </w:pPr>
      <w:r w:rsidRPr="004A49B1">
        <w:t>marketing and distribution;</w:t>
      </w:r>
    </w:p>
    <w:p w14:paraId="50346EC4" w14:textId="77777777" w:rsidR="004A49B1" w:rsidRPr="004A49B1" w:rsidRDefault="004A49B1" w:rsidP="004A49B1">
      <w:pPr>
        <w:numPr>
          <w:ilvl w:val="0"/>
          <w:numId w:val="4"/>
        </w:numPr>
      </w:pPr>
      <w:r w:rsidRPr="004A49B1">
        <w:t>onboarding;</w:t>
      </w:r>
    </w:p>
    <w:p w14:paraId="068A2262" w14:textId="77777777" w:rsidR="004A49B1" w:rsidRPr="004A49B1" w:rsidRDefault="004A49B1" w:rsidP="004A49B1">
      <w:pPr>
        <w:numPr>
          <w:ilvl w:val="0"/>
          <w:numId w:val="4"/>
        </w:numPr>
      </w:pPr>
      <w:r w:rsidRPr="004A49B1">
        <w:t>servicing;</w:t>
      </w:r>
    </w:p>
    <w:p w14:paraId="7C55C085" w14:textId="77777777" w:rsidR="004A49B1" w:rsidRPr="004A49B1" w:rsidRDefault="004A49B1" w:rsidP="004A49B1">
      <w:pPr>
        <w:numPr>
          <w:ilvl w:val="0"/>
          <w:numId w:val="4"/>
        </w:numPr>
      </w:pPr>
      <w:r w:rsidRPr="004A49B1">
        <w:t>complaints handling;</w:t>
      </w:r>
    </w:p>
    <w:p w14:paraId="00C7B3FE" w14:textId="77777777" w:rsidR="004A49B1" w:rsidRPr="004A49B1" w:rsidRDefault="004A49B1" w:rsidP="004A49B1">
      <w:pPr>
        <w:numPr>
          <w:ilvl w:val="0"/>
          <w:numId w:val="4"/>
        </w:numPr>
      </w:pPr>
      <w:r w:rsidRPr="004A49B1">
        <w:t>collections and forbearance;</w:t>
      </w:r>
    </w:p>
    <w:p w14:paraId="0850CC8D" w14:textId="77777777" w:rsidR="004A49B1" w:rsidRPr="004A49B1" w:rsidRDefault="004A49B1" w:rsidP="004A49B1">
      <w:pPr>
        <w:numPr>
          <w:ilvl w:val="0"/>
          <w:numId w:val="4"/>
        </w:numPr>
      </w:pPr>
      <w:r w:rsidRPr="004A49B1">
        <w:t>remediation activities; and</w:t>
      </w:r>
    </w:p>
    <w:p w14:paraId="1EC3F652" w14:textId="77777777" w:rsidR="004A49B1" w:rsidRPr="004A49B1" w:rsidRDefault="004A49B1" w:rsidP="004A49B1">
      <w:pPr>
        <w:numPr>
          <w:ilvl w:val="0"/>
          <w:numId w:val="4"/>
        </w:numPr>
      </w:pPr>
      <w:r w:rsidRPr="004A49B1">
        <w:t>product withdrawal or closure.</w:t>
      </w:r>
    </w:p>
    <w:p w14:paraId="5ECD7680" w14:textId="77777777" w:rsidR="004A49B1" w:rsidRPr="004A49B1" w:rsidRDefault="004A49B1" w:rsidP="004A49B1">
      <w:r w:rsidRPr="004A49B1">
        <w:pict w14:anchorId="294DCF98">
          <v:rect id="_x0000_i1147" style="width:0;height:1.5pt" o:hralign="center" o:hrstd="t" o:hr="t" fillcolor="#a0a0a0" stroked="f"/>
        </w:pict>
      </w:r>
    </w:p>
    <w:p w14:paraId="0B47F25E" w14:textId="77777777" w:rsidR="004A49B1" w:rsidRPr="004A49B1" w:rsidRDefault="004A49B1" w:rsidP="004A49B1">
      <w:pPr>
        <w:rPr>
          <w:b/>
          <w:bCs/>
        </w:rPr>
      </w:pPr>
      <w:r w:rsidRPr="004A49B1">
        <w:rPr>
          <w:b/>
          <w:bCs/>
        </w:rPr>
        <w:t>3. Conduct Risk Philosophy</w:t>
      </w:r>
    </w:p>
    <w:p w14:paraId="6229C47B" w14:textId="77777777" w:rsidR="004A49B1" w:rsidRPr="004A49B1" w:rsidRDefault="004A49B1" w:rsidP="004A49B1">
      <w:r w:rsidRPr="004A49B1">
        <w:t>The Bank recognises that maintaining customer trust and delivering good customer outcomes are fundamental to sustainable business performance.</w:t>
      </w:r>
    </w:p>
    <w:p w14:paraId="776395B2" w14:textId="77777777" w:rsidR="004A49B1" w:rsidRPr="004A49B1" w:rsidRDefault="004A49B1" w:rsidP="004A49B1">
      <w:r w:rsidRPr="004A49B1">
        <w:t>The Bank seeks to:</w:t>
      </w:r>
    </w:p>
    <w:p w14:paraId="4272C6E6" w14:textId="77777777" w:rsidR="004A49B1" w:rsidRPr="004A49B1" w:rsidRDefault="004A49B1" w:rsidP="004A49B1">
      <w:pPr>
        <w:numPr>
          <w:ilvl w:val="0"/>
          <w:numId w:val="5"/>
        </w:numPr>
      </w:pPr>
      <w:r w:rsidRPr="004A49B1">
        <w:t>act in good faith towards customers;</w:t>
      </w:r>
    </w:p>
    <w:p w14:paraId="48453B7F" w14:textId="77777777" w:rsidR="004A49B1" w:rsidRPr="004A49B1" w:rsidRDefault="004A49B1" w:rsidP="004A49B1">
      <w:pPr>
        <w:numPr>
          <w:ilvl w:val="0"/>
          <w:numId w:val="5"/>
        </w:numPr>
      </w:pPr>
      <w:r w:rsidRPr="004A49B1">
        <w:t>avoid foreseeable customer harm;</w:t>
      </w:r>
    </w:p>
    <w:p w14:paraId="23085E17" w14:textId="77777777" w:rsidR="004A49B1" w:rsidRPr="004A49B1" w:rsidRDefault="004A49B1" w:rsidP="004A49B1">
      <w:pPr>
        <w:numPr>
          <w:ilvl w:val="0"/>
          <w:numId w:val="5"/>
        </w:numPr>
      </w:pPr>
      <w:r w:rsidRPr="004A49B1">
        <w:t>support customers in pursuing their financial objectives;</w:t>
      </w:r>
    </w:p>
    <w:p w14:paraId="130E61DD" w14:textId="77777777" w:rsidR="004A49B1" w:rsidRPr="004A49B1" w:rsidRDefault="004A49B1" w:rsidP="004A49B1">
      <w:pPr>
        <w:numPr>
          <w:ilvl w:val="0"/>
          <w:numId w:val="5"/>
        </w:numPr>
      </w:pPr>
      <w:r w:rsidRPr="004A49B1">
        <w:t>communicate clearly and transparently;</w:t>
      </w:r>
    </w:p>
    <w:p w14:paraId="29CD1608" w14:textId="77777777" w:rsidR="004A49B1" w:rsidRPr="004A49B1" w:rsidRDefault="004A49B1" w:rsidP="004A49B1">
      <w:pPr>
        <w:numPr>
          <w:ilvl w:val="0"/>
          <w:numId w:val="5"/>
        </w:numPr>
      </w:pPr>
      <w:r w:rsidRPr="004A49B1">
        <w:t>maintain fair and responsible business practices; and</w:t>
      </w:r>
    </w:p>
    <w:p w14:paraId="3BD2F3F8" w14:textId="77777777" w:rsidR="004A49B1" w:rsidRPr="004A49B1" w:rsidRDefault="004A49B1" w:rsidP="004A49B1">
      <w:pPr>
        <w:numPr>
          <w:ilvl w:val="0"/>
          <w:numId w:val="5"/>
        </w:numPr>
      </w:pPr>
      <w:r w:rsidRPr="004A49B1">
        <w:t>identify and address conduct concerns promptly.</w:t>
      </w:r>
    </w:p>
    <w:p w14:paraId="26E63A60" w14:textId="77777777" w:rsidR="004A49B1" w:rsidRPr="004A49B1" w:rsidRDefault="004A49B1" w:rsidP="004A49B1">
      <w:r w:rsidRPr="004A49B1">
        <w:t>The Bank recognises that conduct risk may arise from:</w:t>
      </w:r>
    </w:p>
    <w:p w14:paraId="695A4113" w14:textId="77777777" w:rsidR="004A49B1" w:rsidRPr="004A49B1" w:rsidRDefault="004A49B1" w:rsidP="004A49B1">
      <w:pPr>
        <w:numPr>
          <w:ilvl w:val="0"/>
          <w:numId w:val="6"/>
        </w:numPr>
      </w:pPr>
      <w:r w:rsidRPr="004A49B1">
        <w:t>product design;</w:t>
      </w:r>
    </w:p>
    <w:p w14:paraId="467F6BB1" w14:textId="77777777" w:rsidR="004A49B1" w:rsidRPr="004A49B1" w:rsidRDefault="004A49B1" w:rsidP="004A49B1">
      <w:pPr>
        <w:numPr>
          <w:ilvl w:val="0"/>
          <w:numId w:val="6"/>
        </w:numPr>
      </w:pPr>
      <w:r w:rsidRPr="004A49B1">
        <w:t>pricing structures;</w:t>
      </w:r>
    </w:p>
    <w:p w14:paraId="21532D75" w14:textId="77777777" w:rsidR="004A49B1" w:rsidRPr="004A49B1" w:rsidRDefault="004A49B1" w:rsidP="004A49B1">
      <w:pPr>
        <w:numPr>
          <w:ilvl w:val="0"/>
          <w:numId w:val="6"/>
        </w:numPr>
      </w:pPr>
      <w:r w:rsidRPr="004A49B1">
        <w:t>customer communications;</w:t>
      </w:r>
    </w:p>
    <w:p w14:paraId="0F03B846" w14:textId="77777777" w:rsidR="004A49B1" w:rsidRPr="004A49B1" w:rsidRDefault="004A49B1" w:rsidP="004A49B1">
      <w:pPr>
        <w:numPr>
          <w:ilvl w:val="0"/>
          <w:numId w:val="6"/>
        </w:numPr>
      </w:pPr>
      <w:r w:rsidRPr="004A49B1">
        <w:t>operational processes;</w:t>
      </w:r>
    </w:p>
    <w:p w14:paraId="1CC115F2" w14:textId="77777777" w:rsidR="004A49B1" w:rsidRPr="004A49B1" w:rsidRDefault="004A49B1" w:rsidP="004A49B1">
      <w:pPr>
        <w:numPr>
          <w:ilvl w:val="0"/>
          <w:numId w:val="6"/>
        </w:numPr>
      </w:pPr>
      <w:r w:rsidRPr="004A49B1">
        <w:t>employee behaviour;</w:t>
      </w:r>
    </w:p>
    <w:p w14:paraId="3673A774" w14:textId="77777777" w:rsidR="004A49B1" w:rsidRPr="004A49B1" w:rsidRDefault="004A49B1" w:rsidP="004A49B1">
      <w:pPr>
        <w:numPr>
          <w:ilvl w:val="0"/>
          <w:numId w:val="6"/>
        </w:numPr>
      </w:pPr>
      <w:r w:rsidRPr="004A49B1">
        <w:t>incentive structures;</w:t>
      </w:r>
    </w:p>
    <w:p w14:paraId="0DEBCC02" w14:textId="77777777" w:rsidR="004A49B1" w:rsidRPr="004A49B1" w:rsidRDefault="004A49B1" w:rsidP="004A49B1">
      <w:pPr>
        <w:numPr>
          <w:ilvl w:val="0"/>
          <w:numId w:val="6"/>
        </w:numPr>
      </w:pPr>
      <w:r w:rsidRPr="004A49B1">
        <w:t>technology and digital journeys;</w:t>
      </w:r>
    </w:p>
    <w:p w14:paraId="29FE2B6A" w14:textId="77777777" w:rsidR="004A49B1" w:rsidRPr="004A49B1" w:rsidRDefault="004A49B1" w:rsidP="004A49B1">
      <w:pPr>
        <w:numPr>
          <w:ilvl w:val="0"/>
          <w:numId w:val="6"/>
        </w:numPr>
      </w:pPr>
      <w:r w:rsidRPr="004A49B1">
        <w:t>third-party relationships; and</w:t>
      </w:r>
    </w:p>
    <w:p w14:paraId="16D44E50" w14:textId="77777777" w:rsidR="004A49B1" w:rsidRPr="004A49B1" w:rsidRDefault="004A49B1" w:rsidP="004A49B1">
      <w:pPr>
        <w:numPr>
          <w:ilvl w:val="0"/>
          <w:numId w:val="6"/>
        </w:numPr>
      </w:pPr>
      <w:r w:rsidRPr="004A49B1">
        <w:lastRenderedPageBreak/>
        <w:t>failures in governance or oversight.</w:t>
      </w:r>
    </w:p>
    <w:p w14:paraId="69CD0D81" w14:textId="77777777" w:rsidR="004A49B1" w:rsidRPr="004A49B1" w:rsidRDefault="004A49B1" w:rsidP="004A49B1">
      <w:r w:rsidRPr="004A49B1">
        <w:t>The Bank has a low appetite for conduct failures and customer harm.</w:t>
      </w:r>
    </w:p>
    <w:p w14:paraId="7A8C01C6" w14:textId="77777777" w:rsidR="004A49B1" w:rsidRPr="004A49B1" w:rsidRDefault="004A49B1" w:rsidP="004A49B1">
      <w:r w:rsidRPr="004A49B1">
        <w:pict w14:anchorId="2921D0FD">
          <v:rect id="_x0000_i1148" style="width:0;height:1.5pt" o:hralign="center" o:hrstd="t" o:hr="t" fillcolor="#a0a0a0" stroked="f"/>
        </w:pict>
      </w:r>
    </w:p>
    <w:p w14:paraId="682D090E" w14:textId="77777777" w:rsidR="004A49B1" w:rsidRPr="004A49B1" w:rsidRDefault="004A49B1" w:rsidP="004A49B1">
      <w:pPr>
        <w:rPr>
          <w:b/>
          <w:bCs/>
        </w:rPr>
      </w:pPr>
      <w:r w:rsidRPr="004A49B1">
        <w:rPr>
          <w:b/>
          <w:bCs/>
        </w:rPr>
        <w:t>4. Definition of Conduct Risk</w:t>
      </w:r>
    </w:p>
    <w:p w14:paraId="22C14F4E" w14:textId="77777777" w:rsidR="004A49B1" w:rsidRPr="004A49B1" w:rsidRDefault="004A49B1" w:rsidP="004A49B1">
      <w:r w:rsidRPr="004A49B1">
        <w:t>For the purposes of this Framework, conduct risk is defined as:</w:t>
      </w:r>
    </w:p>
    <w:p w14:paraId="6D0C286B" w14:textId="77777777" w:rsidR="004A49B1" w:rsidRPr="004A49B1" w:rsidRDefault="004A49B1" w:rsidP="004A49B1">
      <w:r w:rsidRPr="004A49B1">
        <w:t>The risk that the Bank’s actions, decisions, products, services, communications or behaviours result in poor customer outcomes, customer harm, unfair treatment, or damage to market integrity or trust.</w:t>
      </w:r>
    </w:p>
    <w:p w14:paraId="06777CD9" w14:textId="77777777" w:rsidR="004A49B1" w:rsidRPr="004A49B1" w:rsidRDefault="004A49B1" w:rsidP="004A49B1">
      <w:r w:rsidRPr="004A49B1">
        <w:t>Conduct risk may arise from:</w:t>
      </w:r>
    </w:p>
    <w:p w14:paraId="30FD3A91" w14:textId="77777777" w:rsidR="004A49B1" w:rsidRPr="004A49B1" w:rsidRDefault="004A49B1" w:rsidP="004A49B1">
      <w:pPr>
        <w:numPr>
          <w:ilvl w:val="0"/>
          <w:numId w:val="7"/>
        </w:numPr>
      </w:pPr>
      <w:r w:rsidRPr="004A49B1">
        <w:t>deliberate misconduct;</w:t>
      </w:r>
    </w:p>
    <w:p w14:paraId="7DBCAD2E" w14:textId="77777777" w:rsidR="004A49B1" w:rsidRPr="004A49B1" w:rsidRDefault="004A49B1" w:rsidP="004A49B1">
      <w:pPr>
        <w:numPr>
          <w:ilvl w:val="0"/>
          <w:numId w:val="7"/>
        </w:numPr>
      </w:pPr>
      <w:r w:rsidRPr="004A49B1">
        <w:t>poor governance;</w:t>
      </w:r>
    </w:p>
    <w:p w14:paraId="4A4CBC1D" w14:textId="77777777" w:rsidR="004A49B1" w:rsidRPr="004A49B1" w:rsidRDefault="004A49B1" w:rsidP="004A49B1">
      <w:pPr>
        <w:numPr>
          <w:ilvl w:val="0"/>
          <w:numId w:val="7"/>
        </w:numPr>
      </w:pPr>
      <w:r w:rsidRPr="004A49B1">
        <w:t>inadequate controls;</w:t>
      </w:r>
    </w:p>
    <w:p w14:paraId="7CD98EDB" w14:textId="77777777" w:rsidR="004A49B1" w:rsidRPr="004A49B1" w:rsidRDefault="004A49B1" w:rsidP="004A49B1">
      <w:pPr>
        <w:numPr>
          <w:ilvl w:val="0"/>
          <w:numId w:val="7"/>
        </w:numPr>
      </w:pPr>
      <w:r w:rsidRPr="004A49B1">
        <w:t>weak oversight;</w:t>
      </w:r>
    </w:p>
    <w:p w14:paraId="414A5E18" w14:textId="77777777" w:rsidR="004A49B1" w:rsidRPr="004A49B1" w:rsidRDefault="004A49B1" w:rsidP="004A49B1">
      <w:pPr>
        <w:numPr>
          <w:ilvl w:val="0"/>
          <w:numId w:val="7"/>
        </w:numPr>
      </w:pPr>
      <w:r w:rsidRPr="004A49B1">
        <w:t>inappropriate incentives;</w:t>
      </w:r>
    </w:p>
    <w:p w14:paraId="5D08A658" w14:textId="77777777" w:rsidR="004A49B1" w:rsidRPr="004A49B1" w:rsidRDefault="004A49B1" w:rsidP="004A49B1">
      <w:pPr>
        <w:numPr>
          <w:ilvl w:val="0"/>
          <w:numId w:val="7"/>
        </w:numPr>
      </w:pPr>
      <w:r w:rsidRPr="004A49B1">
        <w:t>operational failures;</w:t>
      </w:r>
    </w:p>
    <w:p w14:paraId="2FE25FD4" w14:textId="77777777" w:rsidR="004A49B1" w:rsidRPr="004A49B1" w:rsidRDefault="004A49B1" w:rsidP="004A49B1">
      <w:pPr>
        <w:numPr>
          <w:ilvl w:val="0"/>
          <w:numId w:val="7"/>
        </w:numPr>
      </w:pPr>
      <w:r w:rsidRPr="004A49B1">
        <w:t>poor product design;</w:t>
      </w:r>
    </w:p>
    <w:p w14:paraId="1A830409" w14:textId="77777777" w:rsidR="004A49B1" w:rsidRPr="004A49B1" w:rsidRDefault="004A49B1" w:rsidP="004A49B1">
      <w:pPr>
        <w:numPr>
          <w:ilvl w:val="0"/>
          <w:numId w:val="7"/>
        </w:numPr>
      </w:pPr>
      <w:r w:rsidRPr="004A49B1">
        <w:t>ineffective communications; or</w:t>
      </w:r>
    </w:p>
    <w:p w14:paraId="2F3E93B4" w14:textId="77777777" w:rsidR="004A49B1" w:rsidRPr="004A49B1" w:rsidRDefault="004A49B1" w:rsidP="004A49B1">
      <w:pPr>
        <w:numPr>
          <w:ilvl w:val="0"/>
          <w:numId w:val="7"/>
        </w:numPr>
      </w:pPr>
      <w:r w:rsidRPr="004A49B1">
        <w:t>unintended consequences of business activities.</w:t>
      </w:r>
    </w:p>
    <w:p w14:paraId="0EB53058" w14:textId="77777777" w:rsidR="004A49B1" w:rsidRPr="004A49B1" w:rsidRDefault="004A49B1" w:rsidP="004A49B1">
      <w:r w:rsidRPr="004A49B1">
        <w:t>The Bank recognises that customer harm may occur even where there is no deliberate misconduct or regulatory breach.</w:t>
      </w:r>
    </w:p>
    <w:p w14:paraId="580C4C2D" w14:textId="77777777" w:rsidR="004A49B1" w:rsidRPr="004A49B1" w:rsidRDefault="004A49B1" w:rsidP="004A49B1">
      <w:r w:rsidRPr="004A49B1">
        <w:pict w14:anchorId="115B3A6D">
          <v:rect id="_x0000_i1149" style="width:0;height:1.5pt" o:hralign="center" o:hrstd="t" o:hr="t" fillcolor="#a0a0a0" stroked="f"/>
        </w:pict>
      </w:r>
    </w:p>
    <w:p w14:paraId="6AD33AA1" w14:textId="77777777" w:rsidR="004A49B1" w:rsidRPr="004A49B1" w:rsidRDefault="004A49B1" w:rsidP="004A49B1">
      <w:pPr>
        <w:rPr>
          <w:b/>
          <w:bCs/>
        </w:rPr>
      </w:pPr>
      <w:r w:rsidRPr="004A49B1">
        <w:rPr>
          <w:b/>
          <w:bCs/>
        </w:rPr>
        <w:t>5. Governance and Accountability</w:t>
      </w:r>
    </w:p>
    <w:p w14:paraId="447D1BFD" w14:textId="77777777" w:rsidR="004A49B1" w:rsidRPr="004A49B1" w:rsidRDefault="004A49B1" w:rsidP="004A49B1">
      <w:r w:rsidRPr="004A49B1">
        <w:pict w14:anchorId="73DD2A22">
          <v:rect id="_x0000_i1150" style="width:0;height:1.5pt" o:hralign="center" o:hrstd="t" o:hr="t" fillcolor="#a0a0a0" stroked="f"/>
        </w:pict>
      </w:r>
    </w:p>
    <w:p w14:paraId="0EA78929" w14:textId="77777777" w:rsidR="004A49B1" w:rsidRPr="004A49B1" w:rsidRDefault="004A49B1" w:rsidP="004A49B1">
      <w:pPr>
        <w:rPr>
          <w:b/>
          <w:bCs/>
        </w:rPr>
      </w:pPr>
      <w:r w:rsidRPr="004A49B1">
        <w:rPr>
          <w:b/>
          <w:bCs/>
        </w:rPr>
        <w:t>5.1 Board Oversight</w:t>
      </w:r>
    </w:p>
    <w:p w14:paraId="4C45B1FA" w14:textId="77777777" w:rsidR="004A49B1" w:rsidRPr="004A49B1" w:rsidRDefault="004A49B1" w:rsidP="004A49B1">
      <w:r w:rsidRPr="004A49B1">
        <w:t>The Board retains overall responsibility for oversight of conduct risk management across the Bank.</w:t>
      </w:r>
    </w:p>
    <w:p w14:paraId="28C9939F" w14:textId="77777777" w:rsidR="004A49B1" w:rsidRPr="004A49B1" w:rsidRDefault="004A49B1" w:rsidP="004A49B1">
      <w:r w:rsidRPr="004A49B1">
        <w:t>The Board is responsible for:</w:t>
      </w:r>
    </w:p>
    <w:p w14:paraId="5830FF65" w14:textId="77777777" w:rsidR="004A49B1" w:rsidRPr="004A49B1" w:rsidRDefault="004A49B1" w:rsidP="004A49B1">
      <w:pPr>
        <w:numPr>
          <w:ilvl w:val="0"/>
          <w:numId w:val="8"/>
        </w:numPr>
      </w:pPr>
      <w:r w:rsidRPr="004A49B1">
        <w:t>reviewing the effectiveness of the conduct risk framework;</w:t>
      </w:r>
    </w:p>
    <w:p w14:paraId="6AC2AE37" w14:textId="77777777" w:rsidR="004A49B1" w:rsidRPr="004A49B1" w:rsidRDefault="004A49B1" w:rsidP="004A49B1">
      <w:pPr>
        <w:numPr>
          <w:ilvl w:val="0"/>
          <w:numId w:val="8"/>
        </w:numPr>
      </w:pPr>
      <w:r w:rsidRPr="004A49B1">
        <w:t>considering material customer outcome concerns;</w:t>
      </w:r>
    </w:p>
    <w:p w14:paraId="49A25CBB" w14:textId="77777777" w:rsidR="004A49B1" w:rsidRPr="004A49B1" w:rsidRDefault="004A49B1" w:rsidP="004A49B1">
      <w:pPr>
        <w:numPr>
          <w:ilvl w:val="0"/>
          <w:numId w:val="8"/>
        </w:numPr>
      </w:pPr>
      <w:r w:rsidRPr="004A49B1">
        <w:lastRenderedPageBreak/>
        <w:t>reviewing conduct risk trends and emerging issues;</w:t>
      </w:r>
    </w:p>
    <w:p w14:paraId="74CC4939" w14:textId="77777777" w:rsidR="004A49B1" w:rsidRPr="004A49B1" w:rsidRDefault="004A49B1" w:rsidP="004A49B1">
      <w:pPr>
        <w:numPr>
          <w:ilvl w:val="0"/>
          <w:numId w:val="8"/>
        </w:numPr>
      </w:pPr>
      <w:r w:rsidRPr="004A49B1">
        <w:t>overseeing Consumer Duty implementation and effectiveness; and</w:t>
      </w:r>
    </w:p>
    <w:p w14:paraId="5C2200FF" w14:textId="77777777" w:rsidR="004A49B1" w:rsidRPr="004A49B1" w:rsidRDefault="004A49B1" w:rsidP="004A49B1">
      <w:pPr>
        <w:numPr>
          <w:ilvl w:val="0"/>
          <w:numId w:val="8"/>
        </w:numPr>
      </w:pPr>
      <w:r w:rsidRPr="004A49B1">
        <w:t>ensuring conduct considerations are reflected within the Bank’s strategy and culture.</w:t>
      </w:r>
    </w:p>
    <w:p w14:paraId="1F8D290E" w14:textId="77777777" w:rsidR="004A49B1" w:rsidRPr="004A49B1" w:rsidRDefault="004A49B1" w:rsidP="004A49B1">
      <w:r w:rsidRPr="004A49B1">
        <w:pict w14:anchorId="06A63F95">
          <v:rect id="_x0000_i1151" style="width:0;height:1.5pt" o:hralign="center" o:hrstd="t" o:hr="t" fillcolor="#a0a0a0" stroked="f"/>
        </w:pict>
      </w:r>
    </w:p>
    <w:p w14:paraId="056CBF94" w14:textId="77777777" w:rsidR="004A49B1" w:rsidRPr="004A49B1" w:rsidRDefault="004A49B1" w:rsidP="004A49B1">
      <w:pPr>
        <w:rPr>
          <w:b/>
          <w:bCs/>
        </w:rPr>
      </w:pPr>
      <w:r w:rsidRPr="004A49B1">
        <w:rPr>
          <w:b/>
          <w:bCs/>
        </w:rPr>
        <w:t>5.2 Executive Management</w:t>
      </w:r>
    </w:p>
    <w:p w14:paraId="37FE3ACD" w14:textId="77777777" w:rsidR="004A49B1" w:rsidRPr="004A49B1" w:rsidRDefault="004A49B1" w:rsidP="004A49B1">
      <w:r w:rsidRPr="004A49B1">
        <w:t>Executive Management is responsible for:</w:t>
      </w:r>
    </w:p>
    <w:p w14:paraId="2F22A07E" w14:textId="77777777" w:rsidR="004A49B1" w:rsidRPr="004A49B1" w:rsidRDefault="004A49B1" w:rsidP="004A49B1">
      <w:pPr>
        <w:numPr>
          <w:ilvl w:val="0"/>
          <w:numId w:val="9"/>
        </w:numPr>
      </w:pPr>
      <w:r w:rsidRPr="004A49B1">
        <w:t>embedding conduct considerations into business activities;</w:t>
      </w:r>
    </w:p>
    <w:p w14:paraId="5E73C954" w14:textId="77777777" w:rsidR="004A49B1" w:rsidRPr="004A49B1" w:rsidRDefault="004A49B1" w:rsidP="004A49B1">
      <w:pPr>
        <w:numPr>
          <w:ilvl w:val="0"/>
          <w:numId w:val="9"/>
        </w:numPr>
      </w:pPr>
      <w:r w:rsidRPr="004A49B1">
        <w:t>ensuring appropriate governance and controls are maintained;</w:t>
      </w:r>
    </w:p>
    <w:p w14:paraId="1AFF8744" w14:textId="77777777" w:rsidR="004A49B1" w:rsidRPr="004A49B1" w:rsidRDefault="004A49B1" w:rsidP="004A49B1">
      <w:pPr>
        <w:numPr>
          <w:ilvl w:val="0"/>
          <w:numId w:val="9"/>
        </w:numPr>
      </w:pPr>
      <w:r w:rsidRPr="004A49B1">
        <w:t>reviewing material conduct risks;</w:t>
      </w:r>
    </w:p>
    <w:p w14:paraId="57F4F6D2" w14:textId="77777777" w:rsidR="004A49B1" w:rsidRPr="004A49B1" w:rsidRDefault="004A49B1" w:rsidP="004A49B1">
      <w:pPr>
        <w:numPr>
          <w:ilvl w:val="0"/>
          <w:numId w:val="9"/>
        </w:numPr>
      </w:pPr>
      <w:r w:rsidRPr="004A49B1">
        <w:t>supporting a customer-focused culture; and</w:t>
      </w:r>
    </w:p>
    <w:p w14:paraId="6BADBC30" w14:textId="77777777" w:rsidR="004A49B1" w:rsidRPr="004A49B1" w:rsidRDefault="004A49B1" w:rsidP="004A49B1">
      <w:pPr>
        <w:numPr>
          <w:ilvl w:val="0"/>
          <w:numId w:val="9"/>
        </w:numPr>
      </w:pPr>
      <w:r w:rsidRPr="004A49B1">
        <w:t>escalating material conduct concerns appropriately.</w:t>
      </w:r>
    </w:p>
    <w:p w14:paraId="03197ED8" w14:textId="77777777" w:rsidR="004A49B1" w:rsidRPr="004A49B1" w:rsidRDefault="004A49B1" w:rsidP="004A49B1">
      <w:r w:rsidRPr="004A49B1">
        <w:pict w14:anchorId="32E1F9E4">
          <v:rect id="_x0000_i1152" style="width:0;height:1.5pt" o:hralign="center" o:hrstd="t" o:hr="t" fillcolor="#a0a0a0" stroked="f"/>
        </w:pict>
      </w:r>
    </w:p>
    <w:p w14:paraId="0423CC42" w14:textId="77777777" w:rsidR="004A49B1" w:rsidRPr="004A49B1" w:rsidRDefault="004A49B1" w:rsidP="004A49B1">
      <w:pPr>
        <w:rPr>
          <w:b/>
          <w:bCs/>
        </w:rPr>
      </w:pPr>
      <w:r w:rsidRPr="004A49B1">
        <w:rPr>
          <w:b/>
          <w:bCs/>
        </w:rPr>
        <w:t>5.3 Business Areas</w:t>
      </w:r>
    </w:p>
    <w:p w14:paraId="6C5FC4C3" w14:textId="77777777" w:rsidR="004A49B1" w:rsidRPr="004A49B1" w:rsidRDefault="004A49B1" w:rsidP="004A49B1">
      <w:r w:rsidRPr="004A49B1">
        <w:t>Business areas are responsible for:</w:t>
      </w:r>
    </w:p>
    <w:p w14:paraId="310C53EF" w14:textId="77777777" w:rsidR="004A49B1" w:rsidRPr="004A49B1" w:rsidRDefault="004A49B1" w:rsidP="004A49B1">
      <w:pPr>
        <w:numPr>
          <w:ilvl w:val="0"/>
          <w:numId w:val="10"/>
        </w:numPr>
      </w:pPr>
      <w:r w:rsidRPr="004A49B1">
        <w:t>identifying and managing conduct risks;</w:t>
      </w:r>
    </w:p>
    <w:p w14:paraId="40FCC021" w14:textId="77777777" w:rsidR="004A49B1" w:rsidRPr="004A49B1" w:rsidRDefault="004A49B1" w:rsidP="004A49B1">
      <w:pPr>
        <w:numPr>
          <w:ilvl w:val="0"/>
          <w:numId w:val="10"/>
        </w:numPr>
      </w:pPr>
      <w:r w:rsidRPr="004A49B1">
        <w:t>considering customer outcomes in decision-making;</w:t>
      </w:r>
    </w:p>
    <w:p w14:paraId="3B6396B1" w14:textId="77777777" w:rsidR="004A49B1" w:rsidRPr="004A49B1" w:rsidRDefault="004A49B1" w:rsidP="004A49B1">
      <w:pPr>
        <w:numPr>
          <w:ilvl w:val="0"/>
          <w:numId w:val="10"/>
        </w:numPr>
      </w:pPr>
      <w:r w:rsidRPr="004A49B1">
        <w:t>escalating material concerns promptly;</w:t>
      </w:r>
    </w:p>
    <w:p w14:paraId="7698E2EF" w14:textId="77777777" w:rsidR="004A49B1" w:rsidRPr="004A49B1" w:rsidRDefault="004A49B1" w:rsidP="004A49B1">
      <w:pPr>
        <w:numPr>
          <w:ilvl w:val="0"/>
          <w:numId w:val="10"/>
        </w:numPr>
      </w:pPr>
      <w:r w:rsidRPr="004A49B1">
        <w:t>monitoring customer outcomes; and</w:t>
      </w:r>
    </w:p>
    <w:p w14:paraId="6246D479" w14:textId="77777777" w:rsidR="004A49B1" w:rsidRPr="004A49B1" w:rsidRDefault="004A49B1" w:rsidP="004A49B1">
      <w:pPr>
        <w:numPr>
          <w:ilvl w:val="0"/>
          <w:numId w:val="10"/>
        </w:numPr>
      </w:pPr>
      <w:r w:rsidRPr="004A49B1">
        <w:t>ensuring products and services operate as intended.</w:t>
      </w:r>
    </w:p>
    <w:p w14:paraId="5252044A" w14:textId="77777777" w:rsidR="004A49B1" w:rsidRPr="004A49B1" w:rsidRDefault="004A49B1" w:rsidP="004A49B1">
      <w:r w:rsidRPr="004A49B1">
        <w:t>First-line business areas retain ownership of conduct risks arising from their activities.</w:t>
      </w:r>
    </w:p>
    <w:p w14:paraId="2F7B7F06" w14:textId="77777777" w:rsidR="004A49B1" w:rsidRPr="004A49B1" w:rsidRDefault="004A49B1" w:rsidP="004A49B1">
      <w:r w:rsidRPr="004A49B1">
        <w:pict w14:anchorId="223C739A">
          <v:rect id="_x0000_i1153" style="width:0;height:1.5pt" o:hralign="center" o:hrstd="t" o:hr="t" fillcolor="#a0a0a0" stroked="f"/>
        </w:pict>
      </w:r>
    </w:p>
    <w:p w14:paraId="2FC4D17D" w14:textId="77777777" w:rsidR="004A49B1" w:rsidRPr="004A49B1" w:rsidRDefault="004A49B1" w:rsidP="004A49B1">
      <w:pPr>
        <w:rPr>
          <w:b/>
          <w:bCs/>
        </w:rPr>
      </w:pPr>
      <w:r w:rsidRPr="004A49B1">
        <w:rPr>
          <w:b/>
          <w:bCs/>
        </w:rPr>
        <w:t>5.4 Risk and Compliance Functions</w:t>
      </w:r>
    </w:p>
    <w:p w14:paraId="2CA566C1" w14:textId="77777777" w:rsidR="004A49B1" w:rsidRPr="004A49B1" w:rsidRDefault="004A49B1" w:rsidP="004A49B1">
      <w:r w:rsidRPr="004A49B1">
        <w:t>Risk and Compliance functions are responsible for:</w:t>
      </w:r>
    </w:p>
    <w:p w14:paraId="6063B262" w14:textId="77777777" w:rsidR="004A49B1" w:rsidRPr="004A49B1" w:rsidRDefault="004A49B1" w:rsidP="004A49B1">
      <w:pPr>
        <w:numPr>
          <w:ilvl w:val="0"/>
          <w:numId w:val="11"/>
        </w:numPr>
      </w:pPr>
      <w:r w:rsidRPr="004A49B1">
        <w:t>providing independent review and challenge;</w:t>
      </w:r>
    </w:p>
    <w:p w14:paraId="6BBF4340" w14:textId="77777777" w:rsidR="004A49B1" w:rsidRPr="004A49B1" w:rsidRDefault="004A49B1" w:rsidP="004A49B1">
      <w:pPr>
        <w:numPr>
          <w:ilvl w:val="0"/>
          <w:numId w:val="11"/>
        </w:numPr>
      </w:pPr>
      <w:r w:rsidRPr="004A49B1">
        <w:t>supporting interpretation of regulatory obligations;</w:t>
      </w:r>
    </w:p>
    <w:p w14:paraId="2383CC70" w14:textId="77777777" w:rsidR="004A49B1" w:rsidRPr="004A49B1" w:rsidRDefault="004A49B1" w:rsidP="004A49B1">
      <w:pPr>
        <w:numPr>
          <w:ilvl w:val="0"/>
          <w:numId w:val="11"/>
        </w:numPr>
      </w:pPr>
      <w:r w:rsidRPr="004A49B1">
        <w:t>monitoring conduct risk trends;</w:t>
      </w:r>
    </w:p>
    <w:p w14:paraId="1246A49B" w14:textId="77777777" w:rsidR="004A49B1" w:rsidRPr="004A49B1" w:rsidRDefault="004A49B1" w:rsidP="004A49B1">
      <w:pPr>
        <w:numPr>
          <w:ilvl w:val="0"/>
          <w:numId w:val="11"/>
        </w:numPr>
      </w:pPr>
      <w:r w:rsidRPr="004A49B1">
        <w:t>supporting governance reporting; and</w:t>
      </w:r>
    </w:p>
    <w:p w14:paraId="3B257F76" w14:textId="77777777" w:rsidR="004A49B1" w:rsidRPr="004A49B1" w:rsidRDefault="004A49B1" w:rsidP="004A49B1">
      <w:pPr>
        <w:numPr>
          <w:ilvl w:val="0"/>
          <w:numId w:val="11"/>
        </w:numPr>
      </w:pPr>
      <w:r w:rsidRPr="004A49B1">
        <w:lastRenderedPageBreak/>
        <w:t>escalating material concerns where appropriate.</w:t>
      </w:r>
    </w:p>
    <w:p w14:paraId="2897B1B4" w14:textId="77777777" w:rsidR="004A49B1" w:rsidRPr="004A49B1" w:rsidRDefault="004A49B1" w:rsidP="004A49B1">
      <w:r w:rsidRPr="004A49B1">
        <w:pict w14:anchorId="042B9146">
          <v:rect id="_x0000_i1154" style="width:0;height:1.5pt" o:hralign="center" o:hrstd="t" o:hr="t" fillcolor="#a0a0a0" stroked="f"/>
        </w:pict>
      </w:r>
    </w:p>
    <w:p w14:paraId="5E890614" w14:textId="77777777" w:rsidR="004A49B1" w:rsidRPr="004A49B1" w:rsidRDefault="004A49B1" w:rsidP="004A49B1">
      <w:pPr>
        <w:rPr>
          <w:b/>
          <w:bCs/>
        </w:rPr>
      </w:pPr>
      <w:r w:rsidRPr="004A49B1">
        <w:rPr>
          <w:b/>
          <w:bCs/>
        </w:rPr>
        <w:t>5.5 Internal Audit</w:t>
      </w:r>
    </w:p>
    <w:p w14:paraId="49BB163D" w14:textId="77777777" w:rsidR="004A49B1" w:rsidRPr="004A49B1" w:rsidRDefault="004A49B1" w:rsidP="004A49B1">
      <w:r w:rsidRPr="004A49B1">
        <w:t>Internal Audit is responsible for providing independent assurance regarding the effectiveness of the Bank’s conduct risk management arrangements and associated controls.</w:t>
      </w:r>
    </w:p>
    <w:p w14:paraId="29510E5C" w14:textId="77777777" w:rsidR="004A49B1" w:rsidRPr="004A49B1" w:rsidRDefault="004A49B1" w:rsidP="004A49B1">
      <w:r w:rsidRPr="004A49B1">
        <w:pict w14:anchorId="1670D1FF">
          <v:rect id="_x0000_i1155" style="width:0;height:1.5pt" o:hralign="center" o:hrstd="t" o:hr="t" fillcolor="#a0a0a0" stroked="f"/>
        </w:pict>
      </w:r>
    </w:p>
    <w:p w14:paraId="25A09DFD" w14:textId="77777777" w:rsidR="004A49B1" w:rsidRPr="004A49B1" w:rsidRDefault="004A49B1" w:rsidP="004A49B1">
      <w:pPr>
        <w:rPr>
          <w:b/>
          <w:bCs/>
        </w:rPr>
      </w:pPr>
      <w:r w:rsidRPr="004A49B1">
        <w:rPr>
          <w:b/>
          <w:bCs/>
        </w:rPr>
        <w:t>6. Conduct Risk Drivers</w:t>
      </w:r>
    </w:p>
    <w:p w14:paraId="1DD9C017" w14:textId="77777777" w:rsidR="004A49B1" w:rsidRPr="004A49B1" w:rsidRDefault="004A49B1" w:rsidP="004A49B1">
      <w:r w:rsidRPr="004A49B1">
        <w:t>The Bank recognises that conduct risk may arise from a range of factors, including:</w:t>
      </w:r>
    </w:p>
    <w:p w14:paraId="45AAE947" w14:textId="77777777" w:rsidR="004A49B1" w:rsidRPr="004A49B1" w:rsidRDefault="004A49B1" w:rsidP="004A49B1">
      <w:pPr>
        <w:numPr>
          <w:ilvl w:val="0"/>
          <w:numId w:val="12"/>
        </w:numPr>
      </w:pPr>
      <w:r w:rsidRPr="004A49B1">
        <w:t>product complexity;</w:t>
      </w:r>
    </w:p>
    <w:p w14:paraId="48C4281A" w14:textId="77777777" w:rsidR="004A49B1" w:rsidRPr="004A49B1" w:rsidRDefault="004A49B1" w:rsidP="004A49B1">
      <w:pPr>
        <w:numPr>
          <w:ilvl w:val="0"/>
          <w:numId w:val="12"/>
        </w:numPr>
      </w:pPr>
      <w:r w:rsidRPr="004A49B1">
        <w:t>inappropriate target market selection;</w:t>
      </w:r>
    </w:p>
    <w:p w14:paraId="28434916" w14:textId="77777777" w:rsidR="004A49B1" w:rsidRPr="004A49B1" w:rsidRDefault="004A49B1" w:rsidP="004A49B1">
      <w:pPr>
        <w:numPr>
          <w:ilvl w:val="0"/>
          <w:numId w:val="12"/>
        </w:numPr>
      </w:pPr>
      <w:r w:rsidRPr="004A49B1">
        <w:t>poor customer understanding;</w:t>
      </w:r>
    </w:p>
    <w:p w14:paraId="38578A17" w14:textId="77777777" w:rsidR="004A49B1" w:rsidRPr="004A49B1" w:rsidRDefault="004A49B1" w:rsidP="004A49B1">
      <w:pPr>
        <w:numPr>
          <w:ilvl w:val="0"/>
          <w:numId w:val="12"/>
        </w:numPr>
      </w:pPr>
      <w:r w:rsidRPr="004A49B1">
        <w:t>unclear or misleading communications;</w:t>
      </w:r>
    </w:p>
    <w:p w14:paraId="11595792" w14:textId="77777777" w:rsidR="004A49B1" w:rsidRPr="004A49B1" w:rsidRDefault="004A49B1" w:rsidP="004A49B1">
      <w:pPr>
        <w:numPr>
          <w:ilvl w:val="0"/>
          <w:numId w:val="12"/>
        </w:numPr>
      </w:pPr>
      <w:r w:rsidRPr="004A49B1">
        <w:t>inappropriate pricing structures;</w:t>
      </w:r>
    </w:p>
    <w:p w14:paraId="2B812CE5" w14:textId="77777777" w:rsidR="004A49B1" w:rsidRPr="004A49B1" w:rsidRDefault="004A49B1" w:rsidP="004A49B1">
      <w:pPr>
        <w:numPr>
          <w:ilvl w:val="0"/>
          <w:numId w:val="12"/>
        </w:numPr>
      </w:pPr>
      <w:r w:rsidRPr="004A49B1">
        <w:t>operational friction or barriers;</w:t>
      </w:r>
    </w:p>
    <w:p w14:paraId="15A41127" w14:textId="77777777" w:rsidR="004A49B1" w:rsidRPr="004A49B1" w:rsidRDefault="004A49B1" w:rsidP="004A49B1">
      <w:pPr>
        <w:numPr>
          <w:ilvl w:val="0"/>
          <w:numId w:val="12"/>
        </w:numPr>
      </w:pPr>
      <w:r w:rsidRPr="004A49B1">
        <w:t>ineffective servicing arrangements;</w:t>
      </w:r>
    </w:p>
    <w:p w14:paraId="5232D557" w14:textId="77777777" w:rsidR="004A49B1" w:rsidRPr="004A49B1" w:rsidRDefault="004A49B1" w:rsidP="004A49B1">
      <w:pPr>
        <w:numPr>
          <w:ilvl w:val="0"/>
          <w:numId w:val="12"/>
        </w:numPr>
      </w:pPr>
      <w:r w:rsidRPr="004A49B1">
        <w:t>inadequate support for vulnerable customers;</w:t>
      </w:r>
    </w:p>
    <w:p w14:paraId="032F5216" w14:textId="77777777" w:rsidR="004A49B1" w:rsidRPr="004A49B1" w:rsidRDefault="004A49B1" w:rsidP="004A49B1">
      <w:pPr>
        <w:numPr>
          <w:ilvl w:val="0"/>
          <w:numId w:val="12"/>
        </w:numPr>
      </w:pPr>
      <w:r w:rsidRPr="004A49B1">
        <w:t>incentive structures that conflict with customer interests;</w:t>
      </w:r>
    </w:p>
    <w:p w14:paraId="496CC38C" w14:textId="77777777" w:rsidR="004A49B1" w:rsidRPr="004A49B1" w:rsidRDefault="004A49B1" w:rsidP="004A49B1">
      <w:pPr>
        <w:numPr>
          <w:ilvl w:val="0"/>
          <w:numId w:val="12"/>
        </w:numPr>
      </w:pPr>
      <w:r w:rsidRPr="004A49B1">
        <w:t>inadequate employee training;</w:t>
      </w:r>
    </w:p>
    <w:p w14:paraId="6C96BC7B" w14:textId="77777777" w:rsidR="004A49B1" w:rsidRPr="004A49B1" w:rsidRDefault="004A49B1" w:rsidP="004A49B1">
      <w:pPr>
        <w:numPr>
          <w:ilvl w:val="0"/>
          <w:numId w:val="12"/>
        </w:numPr>
      </w:pPr>
      <w:r w:rsidRPr="004A49B1">
        <w:t>excessive reliance on disclosures;</w:t>
      </w:r>
    </w:p>
    <w:p w14:paraId="6DC9BDBB" w14:textId="77777777" w:rsidR="004A49B1" w:rsidRPr="004A49B1" w:rsidRDefault="004A49B1" w:rsidP="004A49B1">
      <w:pPr>
        <w:numPr>
          <w:ilvl w:val="0"/>
          <w:numId w:val="12"/>
        </w:numPr>
      </w:pPr>
      <w:r w:rsidRPr="004A49B1">
        <w:t>weak governance or challenge;</w:t>
      </w:r>
    </w:p>
    <w:p w14:paraId="6F80A34B" w14:textId="77777777" w:rsidR="004A49B1" w:rsidRPr="004A49B1" w:rsidRDefault="004A49B1" w:rsidP="004A49B1">
      <w:pPr>
        <w:numPr>
          <w:ilvl w:val="0"/>
          <w:numId w:val="12"/>
        </w:numPr>
      </w:pPr>
      <w:r w:rsidRPr="004A49B1">
        <w:t>digital journey design;</w:t>
      </w:r>
    </w:p>
    <w:p w14:paraId="350577E5" w14:textId="77777777" w:rsidR="004A49B1" w:rsidRPr="004A49B1" w:rsidRDefault="004A49B1" w:rsidP="004A49B1">
      <w:pPr>
        <w:numPr>
          <w:ilvl w:val="0"/>
          <w:numId w:val="12"/>
        </w:numPr>
      </w:pPr>
      <w:r w:rsidRPr="004A49B1">
        <w:t>third-party arrangements; and</w:t>
      </w:r>
    </w:p>
    <w:p w14:paraId="2DD56B94" w14:textId="77777777" w:rsidR="004A49B1" w:rsidRPr="004A49B1" w:rsidRDefault="004A49B1" w:rsidP="004A49B1">
      <w:pPr>
        <w:numPr>
          <w:ilvl w:val="0"/>
          <w:numId w:val="12"/>
        </w:numPr>
      </w:pPr>
      <w:r w:rsidRPr="004A49B1">
        <w:t>unmanaged conflicts of interest.</w:t>
      </w:r>
    </w:p>
    <w:p w14:paraId="6F8CC901" w14:textId="77777777" w:rsidR="004A49B1" w:rsidRPr="004A49B1" w:rsidRDefault="004A49B1" w:rsidP="004A49B1">
      <w:r w:rsidRPr="004A49B1">
        <w:t>Business areas should consider potential conduct risk drivers during:</w:t>
      </w:r>
    </w:p>
    <w:p w14:paraId="07082D11" w14:textId="77777777" w:rsidR="004A49B1" w:rsidRPr="004A49B1" w:rsidRDefault="004A49B1" w:rsidP="004A49B1">
      <w:pPr>
        <w:numPr>
          <w:ilvl w:val="0"/>
          <w:numId w:val="13"/>
        </w:numPr>
      </w:pPr>
      <w:r w:rsidRPr="004A49B1">
        <w:t>product design;</w:t>
      </w:r>
    </w:p>
    <w:p w14:paraId="5FB5A8D6" w14:textId="77777777" w:rsidR="004A49B1" w:rsidRPr="004A49B1" w:rsidRDefault="004A49B1" w:rsidP="004A49B1">
      <w:pPr>
        <w:numPr>
          <w:ilvl w:val="0"/>
          <w:numId w:val="13"/>
        </w:numPr>
      </w:pPr>
      <w:r w:rsidRPr="004A49B1">
        <w:t>customer journey development;</w:t>
      </w:r>
    </w:p>
    <w:p w14:paraId="571AF468" w14:textId="77777777" w:rsidR="004A49B1" w:rsidRPr="004A49B1" w:rsidRDefault="004A49B1" w:rsidP="004A49B1">
      <w:pPr>
        <w:numPr>
          <w:ilvl w:val="0"/>
          <w:numId w:val="13"/>
        </w:numPr>
      </w:pPr>
      <w:r w:rsidRPr="004A49B1">
        <w:t>operational change;</w:t>
      </w:r>
    </w:p>
    <w:p w14:paraId="401F0B61" w14:textId="77777777" w:rsidR="004A49B1" w:rsidRPr="004A49B1" w:rsidRDefault="004A49B1" w:rsidP="004A49B1">
      <w:pPr>
        <w:numPr>
          <w:ilvl w:val="0"/>
          <w:numId w:val="13"/>
        </w:numPr>
      </w:pPr>
      <w:r w:rsidRPr="004A49B1">
        <w:t>outsourcing decisions; and</w:t>
      </w:r>
    </w:p>
    <w:p w14:paraId="02045AAA" w14:textId="77777777" w:rsidR="004A49B1" w:rsidRPr="004A49B1" w:rsidRDefault="004A49B1" w:rsidP="004A49B1">
      <w:pPr>
        <w:numPr>
          <w:ilvl w:val="0"/>
          <w:numId w:val="13"/>
        </w:numPr>
      </w:pPr>
      <w:r w:rsidRPr="004A49B1">
        <w:lastRenderedPageBreak/>
        <w:t>strategic initiatives.</w:t>
      </w:r>
    </w:p>
    <w:p w14:paraId="7C16D7BD" w14:textId="77777777" w:rsidR="004A49B1" w:rsidRPr="004A49B1" w:rsidRDefault="004A49B1" w:rsidP="004A49B1">
      <w:r w:rsidRPr="004A49B1">
        <w:pict w14:anchorId="0134D385">
          <v:rect id="_x0000_i1156" style="width:0;height:1.5pt" o:hralign="center" o:hrstd="t" o:hr="t" fillcolor="#a0a0a0" stroked="f"/>
        </w:pict>
      </w:r>
    </w:p>
    <w:p w14:paraId="135F5F68" w14:textId="77777777" w:rsidR="004A49B1" w:rsidRPr="004A49B1" w:rsidRDefault="004A49B1" w:rsidP="004A49B1">
      <w:pPr>
        <w:rPr>
          <w:b/>
          <w:bCs/>
        </w:rPr>
      </w:pPr>
      <w:r w:rsidRPr="004A49B1">
        <w:rPr>
          <w:b/>
          <w:bCs/>
        </w:rPr>
        <w:t>7. Conduct Risk Lifecycle</w:t>
      </w:r>
    </w:p>
    <w:p w14:paraId="4CDBD8FF" w14:textId="77777777" w:rsidR="004A49B1" w:rsidRPr="004A49B1" w:rsidRDefault="004A49B1" w:rsidP="004A49B1">
      <w:r w:rsidRPr="004A49B1">
        <w:t>Conduct risk should be considered throughout the customer and product lifecycle.</w:t>
      </w:r>
    </w:p>
    <w:p w14:paraId="29207BAA" w14:textId="77777777" w:rsidR="004A49B1" w:rsidRPr="004A49B1" w:rsidRDefault="004A49B1" w:rsidP="004A49B1">
      <w:r w:rsidRPr="004A49B1">
        <w:t>This includes:</w:t>
      </w:r>
    </w:p>
    <w:p w14:paraId="5E34F81B" w14:textId="77777777" w:rsidR="004A49B1" w:rsidRPr="004A49B1" w:rsidRDefault="004A49B1" w:rsidP="004A49B1">
      <w:pPr>
        <w:numPr>
          <w:ilvl w:val="0"/>
          <w:numId w:val="14"/>
        </w:numPr>
      </w:pPr>
      <w:r w:rsidRPr="004A49B1">
        <w:t>product design and approval;</w:t>
      </w:r>
    </w:p>
    <w:p w14:paraId="311F0B5C" w14:textId="77777777" w:rsidR="004A49B1" w:rsidRPr="004A49B1" w:rsidRDefault="004A49B1" w:rsidP="004A49B1">
      <w:pPr>
        <w:numPr>
          <w:ilvl w:val="0"/>
          <w:numId w:val="14"/>
        </w:numPr>
      </w:pPr>
      <w:r w:rsidRPr="004A49B1">
        <w:t>pricing and value assessment;</w:t>
      </w:r>
    </w:p>
    <w:p w14:paraId="0F03A350" w14:textId="77777777" w:rsidR="004A49B1" w:rsidRPr="004A49B1" w:rsidRDefault="004A49B1" w:rsidP="004A49B1">
      <w:pPr>
        <w:numPr>
          <w:ilvl w:val="0"/>
          <w:numId w:val="14"/>
        </w:numPr>
      </w:pPr>
      <w:r w:rsidRPr="004A49B1">
        <w:t>marketing and distribution;</w:t>
      </w:r>
    </w:p>
    <w:p w14:paraId="199CF434" w14:textId="77777777" w:rsidR="004A49B1" w:rsidRPr="004A49B1" w:rsidRDefault="004A49B1" w:rsidP="004A49B1">
      <w:pPr>
        <w:numPr>
          <w:ilvl w:val="0"/>
          <w:numId w:val="14"/>
        </w:numPr>
      </w:pPr>
      <w:r w:rsidRPr="004A49B1">
        <w:t>onboarding and disclosure;</w:t>
      </w:r>
    </w:p>
    <w:p w14:paraId="355134F3" w14:textId="77777777" w:rsidR="004A49B1" w:rsidRPr="004A49B1" w:rsidRDefault="004A49B1" w:rsidP="004A49B1">
      <w:pPr>
        <w:numPr>
          <w:ilvl w:val="0"/>
          <w:numId w:val="14"/>
        </w:numPr>
      </w:pPr>
      <w:r w:rsidRPr="004A49B1">
        <w:t>customer servicing;</w:t>
      </w:r>
    </w:p>
    <w:p w14:paraId="076921C0" w14:textId="77777777" w:rsidR="004A49B1" w:rsidRPr="004A49B1" w:rsidRDefault="004A49B1" w:rsidP="004A49B1">
      <w:pPr>
        <w:numPr>
          <w:ilvl w:val="0"/>
          <w:numId w:val="14"/>
        </w:numPr>
      </w:pPr>
      <w:r w:rsidRPr="004A49B1">
        <w:t>complaints handling;</w:t>
      </w:r>
    </w:p>
    <w:p w14:paraId="67408390" w14:textId="77777777" w:rsidR="004A49B1" w:rsidRPr="004A49B1" w:rsidRDefault="004A49B1" w:rsidP="004A49B1">
      <w:pPr>
        <w:numPr>
          <w:ilvl w:val="0"/>
          <w:numId w:val="14"/>
        </w:numPr>
      </w:pPr>
      <w:r w:rsidRPr="004A49B1">
        <w:t>collections and forbearance;</w:t>
      </w:r>
    </w:p>
    <w:p w14:paraId="310409B9" w14:textId="77777777" w:rsidR="004A49B1" w:rsidRPr="004A49B1" w:rsidRDefault="004A49B1" w:rsidP="004A49B1">
      <w:pPr>
        <w:numPr>
          <w:ilvl w:val="0"/>
          <w:numId w:val="14"/>
        </w:numPr>
      </w:pPr>
      <w:r w:rsidRPr="004A49B1">
        <w:t>remediation activities; and</w:t>
      </w:r>
    </w:p>
    <w:p w14:paraId="02F5D2F4" w14:textId="77777777" w:rsidR="004A49B1" w:rsidRPr="004A49B1" w:rsidRDefault="004A49B1" w:rsidP="004A49B1">
      <w:pPr>
        <w:numPr>
          <w:ilvl w:val="0"/>
          <w:numId w:val="14"/>
        </w:numPr>
      </w:pPr>
      <w:r w:rsidRPr="004A49B1">
        <w:t>product closure or withdrawal.</w:t>
      </w:r>
    </w:p>
    <w:p w14:paraId="2BAA9ED4" w14:textId="77777777" w:rsidR="004A49B1" w:rsidRPr="004A49B1" w:rsidRDefault="004A49B1" w:rsidP="004A49B1">
      <w:r w:rsidRPr="004A49B1">
        <w:t>The Bank recognises that conduct risks may evolve over time and require ongoing monitoring.</w:t>
      </w:r>
    </w:p>
    <w:p w14:paraId="4B9BE9BC" w14:textId="77777777" w:rsidR="004A49B1" w:rsidRPr="004A49B1" w:rsidRDefault="004A49B1" w:rsidP="004A49B1">
      <w:r w:rsidRPr="004A49B1">
        <w:pict w14:anchorId="62A34B6A">
          <v:rect id="_x0000_i1157" style="width:0;height:1.5pt" o:hralign="center" o:hrstd="t" o:hr="t" fillcolor="#a0a0a0" stroked="f"/>
        </w:pict>
      </w:r>
    </w:p>
    <w:p w14:paraId="37629D0D" w14:textId="77777777" w:rsidR="004A49B1" w:rsidRPr="004A49B1" w:rsidRDefault="004A49B1" w:rsidP="004A49B1">
      <w:pPr>
        <w:rPr>
          <w:b/>
          <w:bCs/>
        </w:rPr>
      </w:pPr>
      <w:r w:rsidRPr="004A49B1">
        <w:rPr>
          <w:b/>
          <w:bCs/>
        </w:rPr>
        <w:t>8. Customer Outcomes and Foreseeable Harm</w:t>
      </w:r>
    </w:p>
    <w:p w14:paraId="5D2FC7B3" w14:textId="77777777" w:rsidR="004A49B1" w:rsidRPr="004A49B1" w:rsidRDefault="004A49B1" w:rsidP="004A49B1">
      <w:r w:rsidRPr="004A49B1">
        <w:t>The Bank seeks to identify and mitigate foreseeable harm to customers.</w:t>
      </w:r>
    </w:p>
    <w:p w14:paraId="0D0CFEEA" w14:textId="77777777" w:rsidR="004A49B1" w:rsidRPr="004A49B1" w:rsidRDefault="004A49B1" w:rsidP="004A49B1">
      <w:r w:rsidRPr="004A49B1">
        <w:t>Consideration should be given to:</w:t>
      </w:r>
    </w:p>
    <w:p w14:paraId="469C052A" w14:textId="77777777" w:rsidR="004A49B1" w:rsidRPr="004A49B1" w:rsidRDefault="004A49B1" w:rsidP="004A49B1">
      <w:pPr>
        <w:numPr>
          <w:ilvl w:val="0"/>
          <w:numId w:val="15"/>
        </w:numPr>
      </w:pPr>
      <w:r w:rsidRPr="004A49B1">
        <w:t>customer understanding;</w:t>
      </w:r>
    </w:p>
    <w:p w14:paraId="6A7EF1E6" w14:textId="77777777" w:rsidR="004A49B1" w:rsidRPr="004A49B1" w:rsidRDefault="004A49B1" w:rsidP="004A49B1">
      <w:pPr>
        <w:numPr>
          <w:ilvl w:val="0"/>
          <w:numId w:val="15"/>
        </w:numPr>
      </w:pPr>
      <w:r w:rsidRPr="004A49B1">
        <w:t>complexity and transparency;</w:t>
      </w:r>
    </w:p>
    <w:p w14:paraId="2312F600" w14:textId="77777777" w:rsidR="004A49B1" w:rsidRPr="004A49B1" w:rsidRDefault="004A49B1" w:rsidP="004A49B1">
      <w:pPr>
        <w:numPr>
          <w:ilvl w:val="0"/>
          <w:numId w:val="15"/>
        </w:numPr>
      </w:pPr>
      <w:r w:rsidRPr="004A49B1">
        <w:t>behavioural impacts;</w:t>
      </w:r>
    </w:p>
    <w:p w14:paraId="297411A1" w14:textId="77777777" w:rsidR="004A49B1" w:rsidRPr="004A49B1" w:rsidRDefault="004A49B1" w:rsidP="004A49B1">
      <w:pPr>
        <w:numPr>
          <w:ilvl w:val="0"/>
          <w:numId w:val="15"/>
        </w:numPr>
      </w:pPr>
      <w:r w:rsidRPr="004A49B1">
        <w:t>barriers to customer action;</w:t>
      </w:r>
    </w:p>
    <w:p w14:paraId="64D506BB" w14:textId="77777777" w:rsidR="004A49B1" w:rsidRPr="004A49B1" w:rsidRDefault="004A49B1" w:rsidP="004A49B1">
      <w:pPr>
        <w:numPr>
          <w:ilvl w:val="0"/>
          <w:numId w:val="15"/>
        </w:numPr>
      </w:pPr>
      <w:r w:rsidRPr="004A49B1">
        <w:t>customer vulnerability;</w:t>
      </w:r>
    </w:p>
    <w:p w14:paraId="5B702B71" w14:textId="77777777" w:rsidR="004A49B1" w:rsidRPr="004A49B1" w:rsidRDefault="004A49B1" w:rsidP="004A49B1">
      <w:pPr>
        <w:numPr>
          <w:ilvl w:val="0"/>
          <w:numId w:val="15"/>
        </w:numPr>
      </w:pPr>
      <w:r w:rsidRPr="004A49B1">
        <w:t>customer support arrangements;</w:t>
      </w:r>
    </w:p>
    <w:p w14:paraId="793F8363" w14:textId="77777777" w:rsidR="004A49B1" w:rsidRPr="004A49B1" w:rsidRDefault="004A49B1" w:rsidP="004A49B1">
      <w:pPr>
        <w:numPr>
          <w:ilvl w:val="0"/>
          <w:numId w:val="15"/>
        </w:numPr>
      </w:pPr>
      <w:r w:rsidRPr="004A49B1">
        <w:t>operational failures; and</w:t>
      </w:r>
    </w:p>
    <w:p w14:paraId="14A0580A" w14:textId="77777777" w:rsidR="004A49B1" w:rsidRPr="004A49B1" w:rsidRDefault="004A49B1" w:rsidP="004A49B1">
      <w:pPr>
        <w:numPr>
          <w:ilvl w:val="0"/>
          <w:numId w:val="15"/>
        </w:numPr>
      </w:pPr>
      <w:r w:rsidRPr="004A49B1">
        <w:t>unintended customer outcomes.</w:t>
      </w:r>
    </w:p>
    <w:p w14:paraId="665E40D6" w14:textId="77777777" w:rsidR="004A49B1" w:rsidRPr="004A49B1" w:rsidRDefault="004A49B1" w:rsidP="004A49B1">
      <w:r w:rsidRPr="004A49B1">
        <w:lastRenderedPageBreak/>
        <w:t>The Bank recognises that:</w:t>
      </w:r>
    </w:p>
    <w:p w14:paraId="48EA3D57" w14:textId="77777777" w:rsidR="004A49B1" w:rsidRPr="004A49B1" w:rsidRDefault="004A49B1" w:rsidP="004A49B1">
      <w:pPr>
        <w:numPr>
          <w:ilvl w:val="0"/>
          <w:numId w:val="16"/>
        </w:numPr>
      </w:pPr>
      <w:r w:rsidRPr="004A49B1">
        <w:t>disclosures alone may not always prevent customer harm;</w:t>
      </w:r>
    </w:p>
    <w:p w14:paraId="5D400626" w14:textId="77777777" w:rsidR="004A49B1" w:rsidRPr="004A49B1" w:rsidRDefault="004A49B1" w:rsidP="004A49B1">
      <w:pPr>
        <w:numPr>
          <w:ilvl w:val="0"/>
          <w:numId w:val="16"/>
        </w:numPr>
      </w:pPr>
      <w:r w:rsidRPr="004A49B1">
        <w:t>customer behaviour may differ from expected outcomes; and</w:t>
      </w:r>
    </w:p>
    <w:p w14:paraId="7C38CDF2" w14:textId="77777777" w:rsidR="004A49B1" w:rsidRPr="004A49B1" w:rsidRDefault="004A49B1" w:rsidP="004A49B1">
      <w:pPr>
        <w:numPr>
          <w:ilvl w:val="0"/>
          <w:numId w:val="16"/>
        </w:numPr>
      </w:pPr>
      <w:r w:rsidRPr="004A49B1">
        <w:t>complexity may reduce customer understanding even where disclosures are technically compliant.</w:t>
      </w:r>
    </w:p>
    <w:p w14:paraId="2A41BD91" w14:textId="77777777" w:rsidR="004A49B1" w:rsidRPr="004A49B1" w:rsidRDefault="004A49B1" w:rsidP="004A49B1">
      <w:r w:rsidRPr="004A49B1">
        <w:t>Where foreseeable harm cannot be adequately mitigated, the Bank should consider whether a product, feature or activity should proceed.</w:t>
      </w:r>
    </w:p>
    <w:p w14:paraId="371238DF" w14:textId="77777777" w:rsidR="004A49B1" w:rsidRPr="004A49B1" w:rsidRDefault="004A49B1" w:rsidP="004A49B1">
      <w:r w:rsidRPr="004A49B1">
        <w:pict w14:anchorId="2D9100E5">
          <v:rect id="_x0000_i1158" style="width:0;height:1.5pt" o:hralign="center" o:hrstd="t" o:hr="t" fillcolor="#a0a0a0" stroked="f"/>
        </w:pict>
      </w:r>
    </w:p>
    <w:p w14:paraId="511C8AA4" w14:textId="77777777" w:rsidR="004A49B1" w:rsidRPr="004A49B1" w:rsidRDefault="004A49B1" w:rsidP="004A49B1">
      <w:pPr>
        <w:rPr>
          <w:b/>
          <w:bCs/>
        </w:rPr>
      </w:pPr>
      <w:r w:rsidRPr="004A49B1">
        <w:rPr>
          <w:b/>
          <w:bCs/>
        </w:rPr>
        <w:t>9. Vulnerable Customers</w:t>
      </w:r>
    </w:p>
    <w:p w14:paraId="4EFFA84B" w14:textId="77777777" w:rsidR="004A49B1" w:rsidRPr="004A49B1" w:rsidRDefault="004A49B1" w:rsidP="004A49B1">
      <w:r w:rsidRPr="004A49B1">
        <w:t>The Bank recognises that customers may experience vulnerability due to:</w:t>
      </w:r>
    </w:p>
    <w:p w14:paraId="40E8229B" w14:textId="77777777" w:rsidR="004A49B1" w:rsidRPr="004A49B1" w:rsidRDefault="004A49B1" w:rsidP="004A49B1">
      <w:pPr>
        <w:numPr>
          <w:ilvl w:val="0"/>
          <w:numId w:val="17"/>
        </w:numPr>
      </w:pPr>
      <w:r w:rsidRPr="004A49B1">
        <w:t>health;</w:t>
      </w:r>
    </w:p>
    <w:p w14:paraId="24847A96" w14:textId="77777777" w:rsidR="004A49B1" w:rsidRPr="004A49B1" w:rsidRDefault="004A49B1" w:rsidP="004A49B1">
      <w:pPr>
        <w:numPr>
          <w:ilvl w:val="0"/>
          <w:numId w:val="17"/>
        </w:numPr>
      </w:pPr>
      <w:r w:rsidRPr="004A49B1">
        <w:t>life events;</w:t>
      </w:r>
    </w:p>
    <w:p w14:paraId="095FA403" w14:textId="77777777" w:rsidR="004A49B1" w:rsidRPr="004A49B1" w:rsidRDefault="004A49B1" w:rsidP="004A49B1">
      <w:pPr>
        <w:numPr>
          <w:ilvl w:val="0"/>
          <w:numId w:val="17"/>
        </w:numPr>
      </w:pPr>
      <w:r w:rsidRPr="004A49B1">
        <w:t>financial resilience; or</w:t>
      </w:r>
    </w:p>
    <w:p w14:paraId="3523C090" w14:textId="77777777" w:rsidR="004A49B1" w:rsidRPr="004A49B1" w:rsidRDefault="004A49B1" w:rsidP="004A49B1">
      <w:pPr>
        <w:numPr>
          <w:ilvl w:val="0"/>
          <w:numId w:val="17"/>
        </w:numPr>
      </w:pPr>
      <w:r w:rsidRPr="004A49B1">
        <w:t>capability.</w:t>
      </w:r>
    </w:p>
    <w:p w14:paraId="379F1401" w14:textId="77777777" w:rsidR="004A49B1" w:rsidRPr="004A49B1" w:rsidRDefault="004A49B1" w:rsidP="004A49B1">
      <w:r w:rsidRPr="004A49B1">
        <w:t>The Bank seeks to:</w:t>
      </w:r>
    </w:p>
    <w:p w14:paraId="6CCF2CF9" w14:textId="77777777" w:rsidR="004A49B1" w:rsidRPr="004A49B1" w:rsidRDefault="004A49B1" w:rsidP="004A49B1">
      <w:pPr>
        <w:numPr>
          <w:ilvl w:val="0"/>
          <w:numId w:val="18"/>
        </w:numPr>
      </w:pPr>
      <w:r w:rsidRPr="004A49B1">
        <w:t>identify vulnerable customers where appropriate;</w:t>
      </w:r>
    </w:p>
    <w:p w14:paraId="62FD38A7" w14:textId="77777777" w:rsidR="004A49B1" w:rsidRPr="004A49B1" w:rsidRDefault="004A49B1" w:rsidP="004A49B1">
      <w:pPr>
        <w:numPr>
          <w:ilvl w:val="0"/>
          <w:numId w:val="18"/>
        </w:numPr>
      </w:pPr>
      <w:r w:rsidRPr="004A49B1">
        <w:t>consider vulnerability within product and service design;</w:t>
      </w:r>
    </w:p>
    <w:p w14:paraId="27734399" w14:textId="77777777" w:rsidR="004A49B1" w:rsidRPr="004A49B1" w:rsidRDefault="004A49B1" w:rsidP="004A49B1">
      <w:pPr>
        <w:numPr>
          <w:ilvl w:val="0"/>
          <w:numId w:val="18"/>
        </w:numPr>
      </w:pPr>
      <w:r w:rsidRPr="004A49B1">
        <w:t>provide appropriate support arrangements;</w:t>
      </w:r>
    </w:p>
    <w:p w14:paraId="0BF511C3" w14:textId="77777777" w:rsidR="004A49B1" w:rsidRPr="004A49B1" w:rsidRDefault="004A49B1" w:rsidP="004A49B1">
      <w:pPr>
        <w:numPr>
          <w:ilvl w:val="0"/>
          <w:numId w:val="18"/>
        </w:numPr>
      </w:pPr>
      <w:r w:rsidRPr="004A49B1">
        <w:t>avoid unreasonable barriers;</w:t>
      </w:r>
    </w:p>
    <w:p w14:paraId="53B71CC3" w14:textId="77777777" w:rsidR="004A49B1" w:rsidRPr="004A49B1" w:rsidRDefault="004A49B1" w:rsidP="004A49B1">
      <w:pPr>
        <w:numPr>
          <w:ilvl w:val="0"/>
          <w:numId w:val="18"/>
        </w:numPr>
      </w:pPr>
      <w:r w:rsidRPr="004A49B1">
        <w:t>monitor outcomes for vulnerable customer groups; and</w:t>
      </w:r>
    </w:p>
    <w:p w14:paraId="32D74426" w14:textId="77777777" w:rsidR="004A49B1" w:rsidRPr="004A49B1" w:rsidRDefault="004A49B1" w:rsidP="004A49B1">
      <w:pPr>
        <w:numPr>
          <w:ilvl w:val="0"/>
          <w:numId w:val="18"/>
        </w:numPr>
      </w:pPr>
      <w:r w:rsidRPr="004A49B1">
        <w:t>train employees on vulnerability considerations.</w:t>
      </w:r>
    </w:p>
    <w:p w14:paraId="075E4172" w14:textId="77777777" w:rsidR="004A49B1" w:rsidRPr="004A49B1" w:rsidRDefault="004A49B1" w:rsidP="004A49B1">
      <w:r w:rsidRPr="004A49B1">
        <w:t>The Bank recognises that vulnerability may be temporary, permanent or episodic.</w:t>
      </w:r>
    </w:p>
    <w:p w14:paraId="46016B82" w14:textId="77777777" w:rsidR="004A49B1" w:rsidRPr="004A49B1" w:rsidRDefault="004A49B1" w:rsidP="004A49B1">
      <w:r w:rsidRPr="004A49B1">
        <w:pict w14:anchorId="2EDC18E6">
          <v:rect id="_x0000_i1159" style="width:0;height:1.5pt" o:hralign="center" o:hrstd="t" o:hr="t" fillcolor="#a0a0a0" stroked="f"/>
        </w:pict>
      </w:r>
    </w:p>
    <w:p w14:paraId="3F8643CD" w14:textId="77777777" w:rsidR="004A49B1" w:rsidRPr="004A49B1" w:rsidRDefault="004A49B1" w:rsidP="004A49B1">
      <w:pPr>
        <w:rPr>
          <w:b/>
          <w:bCs/>
        </w:rPr>
      </w:pPr>
      <w:r w:rsidRPr="004A49B1">
        <w:rPr>
          <w:b/>
          <w:bCs/>
        </w:rPr>
        <w:t>10. Conduct Risk Monitoring and Management Information</w:t>
      </w:r>
    </w:p>
    <w:p w14:paraId="1CE3E6B1" w14:textId="77777777" w:rsidR="004A49B1" w:rsidRPr="004A49B1" w:rsidRDefault="004A49B1" w:rsidP="004A49B1">
      <w:r w:rsidRPr="004A49B1">
        <w:t>The Bank will maintain monitoring arrangements intended to support identification of emerging conduct risks and poor customer outcomes.</w:t>
      </w:r>
    </w:p>
    <w:p w14:paraId="6E15D842" w14:textId="77777777" w:rsidR="004A49B1" w:rsidRPr="004A49B1" w:rsidRDefault="004A49B1" w:rsidP="004A49B1">
      <w:r w:rsidRPr="004A49B1">
        <w:t>Monitoring may include:</w:t>
      </w:r>
    </w:p>
    <w:p w14:paraId="57165283" w14:textId="77777777" w:rsidR="004A49B1" w:rsidRPr="004A49B1" w:rsidRDefault="004A49B1" w:rsidP="004A49B1">
      <w:pPr>
        <w:numPr>
          <w:ilvl w:val="0"/>
          <w:numId w:val="19"/>
        </w:numPr>
      </w:pPr>
      <w:r w:rsidRPr="004A49B1">
        <w:t>complaints analysis;</w:t>
      </w:r>
    </w:p>
    <w:p w14:paraId="0E685338" w14:textId="77777777" w:rsidR="004A49B1" w:rsidRPr="004A49B1" w:rsidRDefault="004A49B1" w:rsidP="004A49B1">
      <w:pPr>
        <w:numPr>
          <w:ilvl w:val="0"/>
          <w:numId w:val="19"/>
        </w:numPr>
      </w:pPr>
      <w:r w:rsidRPr="004A49B1">
        <w:t>Financial Ombudsman Service referrals;</w:t>
      </w:r>
    </w:p>
    <w:p w14:paraId="534D46D6" w14:textId="77777777" w:rsidR="004A49B1" w:rsidRPr="004A49B1" w:rsidRDefault="004A49B1" w:rsidP="004A49B1">
      <w:pPr>
        <w:numPr>
          <w:ilvl w:val="0"/>
          <w:numId w:val="19"/>
        </w:numPr>
      </w:pPr>
      <w:r w:rsidRPr="004A49B1">
        <w:lastRenderedPageBreak/>
        <w:t>customer feedback;</w:t>
      </w:r>
    </w:p>
    <w:p w14:paraId="56A3621F" w14:textId="77777777" w:rsidR="004A49B1" w:rsidRPr="004A49B1" w:rsidRDefault="004A49B1" w:rsidP="004A49B1">
      <w:pPr>
        <w:numPr>
          <w:ilvl w:val="0"/>
          <w:numId w:val="19"/>
        </w:numPr>
      </w:pPr>
      <w:r w:rsidRPr="004A49B1">
        <w:t>customer attrition;</w:t>
      </w:r>
    </w:p>
    <w:p w14:paraId="54F82C0F" w14:textId="77777777" w:rsidR="004A49B1" w:rsidRPr="004A49B1" w:rsidRDefault="004A49B1" w:rsidP="004A49B1">
      <w:pPr>
        <w:numPr>
          <w:ilvl w:val="0"/>
          <w:numId w:val="19"/>
        </w:numPr>
      </w:pPr>
      <w:r w:rsidRPr="004A49B1">
        <w:t>operational incidents;</w:t>
      </w:r>
    </w:p>
    <w:p w14:paraId="4FBF0B66" w14:textId="77777777" w:rsidR="004A49B1" w:rsidRPr="004A49B1" w:rsidRDefault="004A49B1" w:rsidP="004A49B1">
      <w:pPr>
        <w:numPr>
          <w:ilvl w:val="0"/>
          <w:numId w:val="19"/>
        </w:numPr>
      </w:pPr>
      <w:r w:rsidRPr="004A49B1">
        <w:t>remediation events;</w:t>
      </w:r>
    </w:p>
    <w:p w14:paraId="6F251AA0" w14:textId="77777777" w:rsidR="004A49B1" w:rsidRPr="004A49B1" w:rsidRDefault="004A49B1" w:rsidP="004A49B1">
      <w:pPr>
        <w:numPr>
          <w:ilvl w:val="0"/>
          <w:numId w:val="19"/>
        </w:numPr>
      </w:pPr>
      <w:r w:rsidRPr="004A49B1">
        <w:t>quality assurance activities;</w:t>
      </w:r>
    </w:p>
    <w:p w14:paraId="7D7B4C68" w14:textId="77777777" w:rsidR="004A49B1" w:rsidRPr="004A49B1" w:rsidRDefault="004A49B1" w:rsidP="004A49B1">
      <w:pPr>
        <w:numPr>
          <w:ilvl w:val="0"/>
          <w:numId w:val="19"/>
        </w:numPr>
      </w:pPr>
      <w:r w:rsidRPr="004A49B1">
        <w:t>customer journey analysis;</w:t>
      </w:r>
    </w:p>
    <w:p w14:paraId="7E2F1B5A" w14:textId="77777777" w:rsidR="004A49B1" w:rsidRPr="004A49B1" w:rsidRDefault="004A49B1" w:rsidP="004A49B1">
      <w:pPr>
        <w:numPr>
          <w:ilvl w:val="0"/>
          <w:numId w:val="19"/>
        </w:numPr>
      </w:pPr>
      <w:r w:rsidRPr="004A49B1">
        <w:t>vulnerability indicators;</w:t>
      </w:r>
    </w:p>
    <w:p w14:paraId="70394959" w14:textId="77777777" w:rsidR="004A49B1" w:rsidRPr="004A49B1" w:rsidRDefault="004A49B1" w:rsidP="004A49B1">
      <w:pPr>
        <w:numPr>
          <w:ilvl w:val="0"/>
          <w:numId w:val="19"/>
        </w:numPr>
      </w:pPr>
      <w:r w:rsidRPr="004A49B1">
        <w:t>call monitoring;</w:t>
      </w:r>
    </w:p>
    <w:p w14:paraId="60BFCCB2" w14:textId="77777777" w:rsidR="004A49B1" w:rsidRPr="004A49B1" w:rsidRDefault="004A49B1" w:rsidP="004A49B1">
      <w:pPr>
        <w:numPr>
          <w:ilvl w:val="0"/>
          <w:numId w:val="19"/>
        </w:numPr>
      </w:pPr>
      <w:r w:rsidRPr="004A49B1">
        <w:t>digital analytics;</w:t>
      </w:r>
    </w:p>
    <w:p w14:paraId="391CC220" w14:textId="77777777" w:rsidR="004A49B1" w:rsidRPr="004A49B1" w:rsidRDefault="004A49B1" w:rsidP="004A49B1">
      <w:pPr>
        <w:numPr>
          <w:ilvl w:val="0"/>
          <w:numId w:val="19"/>
        </w:numPr>
      </w:pPr>
      <w:r w:rsidRPr="004A49B1">
        <w:t>sales quality monitoring; and</w:t>
      </w:r>
    </w:p>
    <w:p w14:paraId="1F5009F6" w14:textId="77777777" w:rsidR="004A49B1" w:rsidRPr="004A49B1" w:rsidRDefault="004A49B1" w:rsidP="004A49B1">
      <w:pPr>
        <w:numPr>
          <w:ilvl w:val="0"/>
          <w:numId w:val="19"/>
        </w:numPr>
      </w:pPr>
      <w:r w:rsidRPr="004A49B1">
        <w:t>customer behaviour analysis.</w:t>
      </w:r>
    </w:p>
    <w:p w14:paraId="5C9AEF04" w14:textId="77777777" w:rsidR="004A49B1" w:rsidRPr="004A49B1" w:rsidRDefault="004A49B1" w:rsidP="004A49B1">
      <w:r w:rsidRPr="004A49B1">
        <w:t>The Bank recognises that no single metric is likely to identify conduct risk in isolation.</w:t>
      </w:r>
    </w:p>
    <w:p w14:paraId="3ED065B0" w14:textId="77777777" w:rsidR="004A49B1" w:rsidRPr="004A49B1" w:rsidRDefault="004A49B1" w:rsidP="004A49B1">
      <w:r w:rsidRPr="004A49B1">
        <w:t>Management Information should be reviewed regularly through appropriate governance forums.</w:t>
      </w:r>
    </w:p>
    <w:p w14:paraId="5BD9E6BB" w14:textId="77777777" w:rsidR="004A49B1" w:rsidRPr="004A49B1" w:rsidRDefault="004A49B1" w:rsidP="004A49B1">
      <w:r w:rsidRPr="004A49B1">
        <w:pict w14:anchorId="4CB402E0">
          <v:rect id="_x0000_i1160" style="width:0;height:1.5pt" o:hralign="center" o:hrstd="t" o:hr="t" fillcolor="#a0a0a0" stroked="f"/>
        </w:pict>
      </w:r>
    </w:p>
    <w:p w14:paraId="51756CF3" w14:textId="77777777" w:rsidR="004A49B1" w:rsidRPr="004A49B1" w:rsidRDefault="004A49B1" w:rsidP="004A49B1">
      <w:pPr>
        <w:rPr>
          <w:b/>
          <w:bCs/>
        </w:rPr>
      </w:pPr>
      <w:r w:rsidRPr="004A49B1">
        <w:rPr>
          <w:b/>
          <w:bCs/>
        </w:rPr>
        <w:t>11. Escalation and Remediation</w:t>
      </w:r>
    </w:p>
    <w:p w14:paraId="20E17807" w14:textId="77777777" w:rsidR="004A49B1" w:rsidRPr="004A49B1" w:rsidRDefault="004A49B1" w:rsidP="004A49B1">
      <w:r w:rsidRPr="004A49B1">
        <w:t>Material conduct concerns should be escalated promptly through the Bank’s governance framework.</w:t>
      </w:r>
    </w:p>
    <w:p w14:paraId="04C65E8B" w14:textId="77777777" w:rsidR="004A49B1" w:rsidRPr="004A49B1" w:rsidRDefault="004A49B1" w:rsidP="004A49B1">
      <w:r w:rsidRPr="004A49B1">
        <w:t>Examples of matters requiring escalation may include:</w:t>
      </w:r>
    </w:p>
    <w:p w14:paraId="49259E3D" w14:textId="77777777" w:rsidR="004A49B1" w:rsidRPr="004A49B1" w:rsidRDefault="004A49B1" w:rsidP="004A49B1">
      <w:pPr>
        <w:numPr>
          <w:ilvl w:val="0"/>
          <w:numId w:val="20"/>
        </w:numPr>
      </w:pPr>
      <w:r w:rsidRPr="004A49B1">
        <w:t>evidence of customer harm;</w:t>
      </w:r>
    </w:p>
    <w:p w14:paraId="4334564A" w14:textId="77777777" w:rsidR="004A49B1" w:rsidRPr="004A49B1" w:rsidRDefault="004A49B1" w:rsidP="004A49B1">
      <w:pPr>
        <w:numPr>
          <w:ilvl w:val="0"/>
          <w:numId w:val="20"/>
        </w:numPr>
      </w:pPr>
      <w:r w:rsidRPr="004A49B1">
        <w:t>material complaints trends;</w:t>
      </w:r>
    </w:p>
    <w:p w14:paraId="49DF1D57" w14:textId="77777777" w:rsidR="004A49B1" w:rsidRPr="004A49B1" w:rsidRDefault="004A49B1" w:rsidP="004A49B1">
      <w:pPr>
        <w:numPr>
          <w:ilvl w:val="0"/>
          <w:numId w:val="20"/>
        </w:numPr>
      </w:pPr>
      <w:r w:rsidRPr="004A49B1">
        <w:t>systemic customer misunderstanding;</w:t>
      </w:r>
    </w:p>
    <w:p w14:paraId="0F755EE3" w14:textId="77777777" w:rsidR="004A49B1" w:rsidRPr="004A49B1" w:rsidRDefault="004A49B1" w:rsidP="004A49B1">
      <w:pPr>
        <w:numPr>
          <w:ilvl w:val="0"/>
          <w:numId w:val="20"/>
        </w:numPr>
      </w:pPr>
      <w:r w:rsidRPr="004A49B1">
        <w:t>operational failures affecting customer outcomes;</w:t>
      </w:r>
    </w:p>
    <w:p w14:paraId="24C5DA7F" w14:textId="77777777" w:rsidR="004A49B1" w:rsidRPr="004A49B1" w:rsidRDefault="004A49B1" w:rsidP="004A49B1">
      <w:pPr>
        <w:numPr>
          <w:ilvl w:val="0"/>
          <w:numId w:val="20"/>
        </w:numPr>
      </w:pPr>
      <w:r w:rsidRPr="004A49B1">
        <w:t>unfair pricing concerns;</w:t>
      </w:r>
    </w:p>
    <w:p w14:paraId="555BFE2C" w14:textId="77777777" w:rsidR="004A49B1" w:rsidRPr="004A49B1" w:rsidRDefault="004A49B1" w:rsidP="004A49B1">
      <w:pPr>
        <w:numPr>
          <w:ilvl w:val="0"/>
          <w:numId w:val="20"/>
        </w:numPr>
      </w:pPr>
      <w:r w:rsidRPr="004A49B1">
        <w:t>vulnerable customer impacts;</w:t>
      </w:r>
    </w:p>
    <w:p w14:paraId="4532B520" w14:textId="77777777" w:rsidR="004A49B1" w:rsidRPr="004A49B1" w:rsidRDefault="004A49B1" w:rsidP="004A49B1">
      <w:pPr>
        <w:numPr>
          <w:ilvl w:val="0"/>
          <w:numId w:val="20"/>
        </w:numPr>
      </w:pPr>
      <w:r w:rsidRPr="004A49B1">
        <w:t>significant remediation events; or</w:t>
      </w:r>
    </w:p>
    <w:p w14:paraId="455B6FFB" w14:textId="77777777" w:rsidR="004A49B1" w:rsidRPr="004A49B1" w:rsidRDefault="004A49B1" w:rsidP="004A49B1">
      <w:pPr>
        <w:numPr>
          <w:ilvl w:val="0"/>
          <w:numId w:val="20"/>
        </w:numPr>
      </w:pPr>
      <w:r w:rsidRPr="004A49B1">
        <w:t>material regulatory concerns.</w:t>
      </w:r>
    </w:p>
    <w:p w14:paraId="5FE3C47A" w14:textId="77777777" w:rsidR="004A49B1" w:rsidRPr="004A49B1" w:rsidRDefault="004A49B1" w:rsidP="004A49B1">
      <w:r w:rsidRPr="004A49B1">
        <w:t>Where conduct failures or poor customer outcomes are identified, the Bank will seek to:</w:t>
      </w:r>
    </w:p>
    <w:p w14:paraId="3FF5636C" w14:textId="77777777" w:rsidR="004A49B1" w:rsidRPr="004A49B1" w:rsidRDefault="004A49B1" w:rsidP="004A49B1">
      <w:pPr>
        <w:numPr>
          <w:ilvl w:val="0"/>
          <w:numId w:val="21"/>
        </w:numPr>
      </w:pPr>
      <w:r w:rsidRPr="004A49B1">
        <w:t>investigate root causes;</w:t>
      </w:r>
    </w:p>
    <w:p w14:paraId="43F3FDAD" w14:textId="77777777" w:rsidR="004A49B1" w:rsidRPr="004A49B1" w:rsidRDefault="004A49B1" w:rsidP="004A49B1">
      <w:pPr>
        <w:numPr>
          <w:ilvl w:val="0"/>
          <w:numId w:val="21"/>
        </w:numPr>
      </w:pPr>
      <w:r w:rsidRPr="004A49B1">
        <w:lastRenderedPageBreak/>
        <w:t>assess customer impact;</w:t>
      </w:r>
    </w:p>
    <w:p w14:paraId="0257AEB7" w14:textId="77777777" w:rsidR="004A49B1" w:rsidRPr="004A49B1" w:rsidRDefault="004A49B1" w:rsidP="004A49B1">
      <w:pPr>
        <w:numPr>
          <w:ilvl w:val="0"/>
          <w:numId w:val="21"/>
        </w:numPr>
      </w:pPr>
      <w:r w:rsidRPr="004A49B1">
        <w:t>implement remediation actions;</w:t>
      </w:r>
    </w:p>
    <w:p w14:paraId="78D6664A" w14:textId="77777777" w:rsidR="004A49B1" w:rsidRPr="004A49B1" w:rsidRDefault="004A49B1" w:rsidP="004A49B1">
      <w:pPr>
        <w:numPr>
          <w:ilvl w:val="0"/>
          <w:numId w:val="21"/>
        </w:numPr>
      </w:pPr>
      <w:r w:rsidRPr="004A49B1">
        <w:t>consider whether customer redress is appropriate;</w:t>
      </w:r>
    </w:p>
    <w:p w14:paraId="541F0D7C" w14:textId="77777777" w:rsidR="004A49B1" w:rsidRPr="004A49B1" w:rsidRDefault="004A49B1" w:rsidP="004A49B1">
      <w:pPr>
        <w:numPr>
          <w:ilvl w:val="0"/>
          <w:numId w:val="21"/>
        </w:numPr>
      </w:pPr>
      <w:r w:rsidRPr="004A49B1">
        <w:t>identify broader systemic issues; and</w:t>
      </w:r>
    </w:p>
    <w:p w14:paraId="46552E7B" w14:textId="77777777" w:rsidR="004A49B1" w:rsidRPr="004A49B1" w:rsidRDefault="004A49B1" w:rsidP="004A49B1">
      <w:pPr>
        <w:numPr>
          <w:ilvl w:val="0"/>
          <w:numId w:val="21"/>
        </w:numPr>
      </w:pPr>
      <w:r w:rsidRPr="004A49B1">
        <w:t>consider regulatory notification obligations where appropriate.</w:t>
      </w:r>
    </w:p>
    <w:p w14:paraId="4CE4F5C1" w14:textId="77777777" w:rsidR="004A49B1" w:rsidRPr="004A49B1" w:rsidRDefault="004A49B1" w:rsidP="004A49B1">
      <w:r w:rsidRPr="004A49B1">
        <w:t>Remediation actions should be tracked to completion.</w:t>
      </w:r>
    </w:p>
    <w:p w14:paraId="06B4DB7D" w14:textId="77777777" w:rsidR="004A49B1" w:rsidRPr="004A49B1" w:rsidRDefault="004A49B1" w:rsidP="004A49B1">
      <w:r w:rsidRPr="004A49B1">
        <w:pict w14:anchorId="30DF249E">
          <v:rect id="_x0000_i1161" style="width:0;height:1.5pt" o:hralign="center" o:hrstd="t" o:hr="t" fillcolor="#a0a0a0" stroked="f"/>
        </w:pict>
      </w:r>
    </w:p>
    <w:p w14:paraId="6354ECE0" w14:textId="77777777" w:rsidR="004A49B1" w:rsidRPr="004A49B1" w:rsidRDefault="004A49B1" w:rsidP="004A49B1">
      <w:pPr>
        <w:rPr>
          <w:b/>
          <w:bCs/>
        </w:rPr>
      </w:pPr>
      <w:r w:rsidRPr="004A49B1">
        <w:rPr>
          <w:b/>
          <w:bCs/>
        </w:rPr>
        <w:t>12. Training and Culture</w:t>
      </w:r>
    </w:p>
    <w:p w14:paraId="4C103C7E" w14:textId="77777777" w:rsidR="004A49B1" w:rsidRPr="004A49B1" w:rsidRDefault="004A49B1" w:rsidP="004A49B1">
      <w:r w:rsidRPr="004A49B1">
        <w:t>The Bank expects employees to consider customer outcomes as part of day-to-day decision-making.</w:t>
      </w:r>
    </w:p>
    <w:p w14:paraId="25ED95ED" w14:textId="77777777" w:rsidR="004A49B1" w:rsidRPr="004A49B1" w:rsidRDefault="004A49B1" w:rsidP="004A49B1">
      <w:r w:rsidRPr="004A49B1">
        <w:t>Relevant employees should receive training relating to:</w:t>
      </w:r>
    </w:p>
    <w:p w14:paraId="269D6B02" w14:textId="77777777" w:rsidR="004A49B1" w:rsidRPr="004A49B1" w:rsidRDefault="004A49B1" w:rsidP="004A49B1">
      <w:pPr>
        <w:numPr>
          <w:ilvl w:val="0"/>
          <w:numId w:val="22"/>
        </w:numPr>
      </w:pPr>
      <w:r w:rsidRPr="004A49B1">
        <w:t>conduct risk;</w:t>
      </w:r>
    </w:p>
    <w:p w14:paraId="001EF144" w14:textId="77777777" w:rsidR="004A49B1" w:rsidRPr="004A49B1" w:rsidRDefault="004A49B1" w:rsidP="004A49B1">
      <w:pPr>
        <w:numPr>
          <w:ilvl w:val="0"/>
          <w:numId w:val="22"/>
        </w:numPr>
      </w:pPr>
      <w:r w:rsidRPr="004A49B1">
        <w:t>Consumer Duty requirements;</w:t>
      </w:r>
    </w:p>
    <w:p w14:paraId="3E1A6065" w14:textId="77777777" w:rsidR="004A49B1" w:rsidRPr="004A49B1" w:rsidRDefault="004A49B1" w:rsidP="004A49B1">
      <w:pPr>
        <w:numPr>
          <w:ilvl w:val="0"/>
          <w:numId w:val="22"/>
        </w:numPr>
      </w:pPr>
      <w:r w:rsidRPr="004A49B1">
        <w:t>vulnerability considerations;</w:t>
      </w:r>
    </w:p>
    <w:p w14:paraId="14F0E05B" w14:textId="77777777" w:rsidR="004A49B1" w:rsidRPr="004A49B1" w:rsidRDefault="004A49B1" w:rsidP="004A49B1">
      <w:pPr>
        <w:numPr>
          <w:ilvl w:val="0"/>
          <w:numId w:val="22"/>
        </w:numPr>
      </w:pPr>
      <w:r w:rsidRPr="004A49B1">
        <w:t>escalation expectations; and</w:t>
      </w:r>
    </w:p>
    <w:p w14:paraId="77DBC6DE" w14:textId="77777777" w:rsidR="004A49B1" w:rsidRPr="004A49B1" w:rsidRDefault="004A49B1" w:rsidP="004A49B1">
      <w:pPr>
        <w:numPr>
          <w:ilvl w:val="0"/>
          <w:numId w:val="22"/>
        </w:numPr>
      </w:pPr>
      <w:r w:rsidRPr="004A49B1">
        <w:t>customer outcome considerations relevant to their role.</w:t>
      </w:r>
    </w:p>
    <w:p w14:paraId="45691B40" w14:textId="77777777" w:rsidR="004A49B1" w:rsidRPr="004A49B1" w:rsidRDefault="004A49B1" w:rsidP="004A49B1">
      <w:r w:rsidRPr="004A49B1">
        <w:t>The Bank seeks to promote a culture in which:</w:t>
      </w:r>
    </w:p>
    <w:p w14:paraId="6C472F9A" w14:textId="77777777" w:rsidR="004A49B1" w:rsidRPr="004A49B1" w:rsidRDefault="004A49B1" w:rsidP="004A49B1">
      <w:pPr>
        <w:numPr>
          <w:ilvl w:val="0"/>
          <w:numId w:val="23"/>
        </w:numPr>
      </w:pPr>
      <w:r w:rsidRPr="004A49B1">
        <w:t>customer interests are appropriately considered;</w:t>
      </w:r>
    </w:p>
    <w:p w14:paraId="01FA207C" w14:textId="77777777" w:rsidR="004A49B1" w:rsidRPr="004A49B1" w:rsidRDefault="004A49B1" w:rsidP="004A49B1">
      <w:pPr>
        <w:numPr>
          <w:ilvl w:val="0"/>
          <w:numId w:val="23"/>
        </w:numPr>
      </w:pPr>
      <w:r w:rsidRPr="004A49B1">
        <w:t>challenge is encouraged;</w:t>
      </w:r>
    </w:p>
    <w:p w14:paraId="73BCDA22" w14:textId="77777777" w:rsidR="004A49B1" w:rsidRPr="004A49B1" w:rsidRDefault="004A49B1" w:rsidP="004A49B1">
      <w:pPr>
        <w:numPr>
          <w:ilvl w:val="0"/>
          <w:numId w:val="23"/>
        </w:numPr>
      </w:pPr>
      <w:r w:rsidRPr="004A49B1">
        <w:t>employees feel able to escalate concerns;</w:t>
      </w:r>
    </w:p>
    <w:p w14:paraId="2F094730" w14:textId="77777777" w:rsidR="004A49B1" w:rsidRPr="004A49B1" w:rsidRDefault="004A49B1" w:rsidP="004A49B1">
      <w:pPr>
        <w:numPr>
          <w:ilvl w:val="0"/>
          <w:numId w:val="23"/>
        </w:numPr>
      </w:pPr>
      <w:r w:rsidRPr="004A49B1">
        <w:t>poor behaviour is addressed appropriately; and</w:t>
      </w:r>
    </w:p>
    <w:p w14:paraId="11FCB829" w14:textId="77777777" w:rsidR="004A49B1" w:rsidRPr="004A49B1" w:rsidRDefault="004A49B1" w:rsidP="004A49B1">
      <w:pPr>
        <w:numPr>
          <w:ilvl w:val="0"/>
          <w:numId w:val="23"/>
        </w:numPr>
      </w:pPr>
      <w:r w:rsidRPr="004A49B1">
        <w:t>commercial objectives are balanced with customer outcomes and risk considerations.</w:t>
      </w:r>
    </w:p>
    <w:p w14:paraId="2731A775" w14:textId="77777777" w:rsidR="004A49B1" w:rsidRPr="004A49B1" w:rsidRDefault="004A49B1" w:rsidP="004A49B1">
      <w:r w:rsidRPr="004A49B1">
        <w:pict w14:anchorId="7B8C81AF">
          <v:rect id="_x0000_i1162" style="width:0;height:1.5pt" o:hralign="center" o:hrstd="t" o:hr="t" fillcolor="#a0a0a0" stroked="f"/>
        </w:pict>
      </w:r>
    </w:p>
    <w:p w14:paraId="36F1ED93" w14:textId="77777777" w:rsidR="004A49B1" w:rsidRPr="004A49B1" w:rsidRDefault="004A49B1" w:rsidP="004A49B1">
      <w:pPr>
        <w:rPr>
          <w:b/>
          <w:bCs/>
        </w:rPr>
      </w:pPr>
      <w:r w:rsidRPr="004A49B1">
        <w:rPr>
          <w:b/>
          <w:bCs/>
        </w:rPr>
        <w:t>13. Third-Party and Outsourcing Considerations</w:t>
      </w:r>
    </w:p>
    <w:p w14:paraId="7A33F179" w14:textId="77777777" w:rsidR="004A49B1" w:rsidRPr="004A49B1" w:rsidRDefault="004A49B1" w:rsidP="004A49B1">
      <w:r w:rsidRPr="004A49B1">
        <w:t>Where third parties are involved in customer-facing activities, the Bank will seek to maintain appropriate oversight arrangements.</w:t>
      </w:r>
    </w:p>
    <w:p w14:paraId="35C39D54" w14:textId="77777777" w:rsidR="004A49B1" w:rsidRPr="004A49B1" w:rsidRDefault="004A49B1" w:rsidP="004A49B1">
      <w:r w:rsidRPr="004A49B1">
        <w:t>The Bank recognises that conduct risk may arise through:</w:t>
      </w:r>
    </w:p>
    <w:p w14:paraId="2C77686C" w14:textId="77777777" w:rsidR="004A49B1" w:rsidRPr="004A49B1" w:rsidRDefault="004A49B1" w:rsidP="004A49B1">
      <w:pPr>
        <w:numPr>
          <w:ilvl w:val="0"/>
          <w:numId w:val="24"/>
        </w:numPr>
      </w:pPr>
      <w:r w:rsidRPr="004A49B1">
        <w:t>outsourced servicing;</w:t>
      </w:r>
    </w:p>
    <w:p w14:paraId="7BEDC6F4" w14:textId="77777777" w:rsidR="004A49B1" w:rsidRPr="004A49B1" w:rsidRDefault="004A49B1" w:rsidP="004A49B1">
      <w:pPr>
        <w:numPr>
          <w:ilvl w:val="0"/>
          <w:numId w:val="24"/>
        </w:numPr>
      </w:pPr>
      <w:r w:rsidRPr="004A49B1">
        <w:lastRenderedPageBreak/>
        <w:t>distribution arrangements;</w:t>
      </w:r>
    </w:p>
    <w:p w14:paraId="6BF68908" w14:textId="77777777" w:rsidR="004A49B1" w:rsidRPr="004A49B1" w:rsidRDefault="004A49B1" w:rsidP="004A49B1">
      <w:pPr>
        <w:numPr>
          <w:ilvl w:val="0"/>
          <w:numId w:val="24"/>
        </w:numPr>
      </w:pPr>
      <w:r w:rsidRPr="004A49B1">
        <w:t>technology providers;</w:t>
      </w:r>
    </w:p>
    <w:p w14:paraId="6BF3E4A0" w14:textId="77777777" w:rsidR="004A49B1" w:rsidRPr="004A49B1" w:rsidRDefault="004A49B1" w:rsidP="004A49B1">
      <w:pPr>
        <w:numPr>
          <w:ilvl w:val="0"/>
          <w:numId w:val="24"/>
        </w:numPr>
      </w:pPr>
      <w:r w:rsidRPr="004A49B1">
        <w:t>customer communications managed by third parties; or</w:t>
      </w:r>
    </w:p>
    <w:p w14:paraId="0696BD8C" w14:textId="77777777" w:rsidR="004A49B1" w:rsidRPr="004A49B1" w:rsidRDefault="004A49B1" w:rsidP="004A49B1">
      <w:pPr>
        <w:numPr>
          <w:ilvl w:val="0"/>
          <w:numId w:val="24"/>
        </w:numPr>
      </w:pPr>
      <w:r w:rsidRPr="004A49B1">
        <w:t>operational dependencies affecting customer outcomes.</w:t>
      </w:r>
    </w:p>
    <w:p w14:paraId="5FF25B3B" w14:textId="77777777" w:rsidR="004A49B1" w:rsidRPr="004A49B1" w:rsidRDefault="004A49B1" w:rsidP="004A49B1">
      <w:r w:rsidRPr="004A49B1">
        <w:t>Appropriate due diligence, oversight and escalation arrangements should be maintained for material third-party relationships.</w:t>
      </w:r>
    </w:p>
    <w:p w14:paraId="6FA2C930" w14:textId="77777777" w:rsidR="004A49B1" w:rsidRPr="004A49B1" w:rsidRDefault="004A49B1" w:rsidP="004A49B1">
      <w:r w:rsidRPr="004A49B1">
        <w:pict w14:anchorId="585810EE">
          <v:rect id="_x0000_i1163" style="width:0;height:1.5pt" o:hralign="center" o:hrstd="t" o:hr="t" fillcolor="#a0a0a0" stroked="f"/>
        </w:pict>
      </w:r>
    </w:p>
    <w:p w14:paraId="530D1FB6" w14:textId="77777777" w:rsidR="004A49B1" w:rsidRPr="004A49B1" w:rsidRDefault="004A49B1" w:rsidP="004A49B1">
      <w:pPr>
        <w:rPr>
          <w:b/>
          <w:bCs/>
        </w:rPr>
      </w:pPr>
      <w:r w:rsidRPr="004A49B1">
        <w:rPr>
          <w:b/>
          <w:bCs/>
        </w:rPr>
        <w:t>14. Record Keeping</w:t>
      </w:r>
    </w:p>
    <w:p w14:paraId="39866AE6" w14:textId="77777777" w:rsidR="004A49B1" w:rsidRPr="004A49B1" w:rsidRDefault="004A49B1" w:rsidP="004A49B1">
      <w:r w:rsidRPr="004A49B1">
        <w:t>Appropriate records should be maintained in relation to:</w:t>
      </w:r>
    </w:p>
    <w:p w14:paraId="74BFD4F7" w14:textId="77777777" w:rsidR="004A49B1" w:rsidRPr="004A49B1" w:rsidRDefault="004A49B1" w:rsidP="004A49B1">
      <w:pPr>
        <w:numPr>
          <w:ilvl w:val="0"/>
          <w:numId w:val="25"/>
        </w:numPr>
      </w:pPr>
      <w:r w:rsidRPr="004A49B1">
        <w:t>conduct risk assessments;</w:t>
      </w:r>
    </w:p>
    <w:p w14:paraId="7E59F8A5" w14:textId="77777777" w:rsidR="004A49B1" w:rsidRPr="004A49B1" w:rsidRDefault="004A49B1" w:rsidP="004A49B1">
      <w:pPr>
        <w:numPr>
          <w:ilvl w:val="0"/>
          <w:numId w:val="25"/>
        </w:numPr>
      </w:pPr>
      <w:r w:rsidRPr="004A49B1">
        <w:t>governance discussions;</w:t>
      </w:r>
    </w:p>
    <w:p w14:paraId="5CA4C7F4" w14:textId="77777777" w:rsidR="004A49B1" w:rsidRPr="004A49B1" w:rsidRDefault="004A49B1" w:rsidP="004A49B1">
      <w:pPr>
        <w:numPr>
          <w:ilvl w:val="0"/>
          <w:numId w:val="25"/>
        </w:numPr>
      </w:pPr>
      <w:r w:rsidRPr="004A49B1">
        <w:t>escalation activities;</w:t>
      </w:r>
    </w:p>
    <w:p w14:paraId="3897B8C7" w14:textId="77777777" w:rsidR="004A49B1" w:rsidRPr="004A49B1" w:rsidRDefault="004A49B1" w:rsidP="004A49B1">
      <w:pPr>
        <w:numPr>
          <w:ilvl w:val="0"/>
          <w:numId w:val="25"/>
        </w:numPr>
      </w:pPr>
      <w:r w:rsidRPr="004A49B1">
        <w:t>customer outcome monitoring;</w:t>
      </w:r>
    </w:p>
    <w:p w14:paraId="2F987BAB" w14:textId="77777777" w:rsidR="004A49B1" w:rsidRPr="004A49B1" w:rsidRDefault="004A49B1" w:rsidP="004A49B1">
      <w:pPr>
        <w:numPr>
          <w:ilvl w:val="0"/>
          <w:numId w:val="25"/>
        </w:numPr>
      </w:pPr>
      <w:r w:rsidRPr="004A49B1">
        <w:t>remediation activities;</w:t>
      </w:r>
    </w:p>
    <w:p w14:paraId="07CD0CA4" w14:textId="77777777" w:rsidR="004A49B1" w:rsidRPr="004A49B1" w:rsidRDefault="004A49B1" w:rsidP="004A49B1">
      <w:pPr>
        <w:numPr>
          <w:ilvl w:val="0"/>
          <w:numId w:val="25"/>
        </w:numPr>
      </w:pPr>
      <w:r w:rsidRPr="004A49B1">
        <w:t>customer research and testing; and</w:t>
      </w:r>
    </w:p>
    <w:p w14:paraId="606AA7EC" w14:textId="77777777" w:rsidR="004A49B1" w:rsidRPr="004A49B1" w:rsidRDefault="004A49B1" w:rsidP="004A49B1">
      <w:pPr>
        <w:numPr>
          <w:ilvl w:val="0"/>
          <w:numId w:val="25"/>
        </w:numPr>
      </w:pPr>
      <w:r w:rsidRPr="004A49B1">
        <w:t>governance reporting.</w:t>
      </w:r>
    </w:p>
    <w:p w14:paraId="76B8F959" w14:textId="77777777" w:rsidR="004A49B1" w:rsidRPr="004A49B1" w:rsidRDefault="004A49B1" w:rsidP="004A49B1">
      <w:r w:rsidRPr="004A49B1">
        <w:t>Records should be retained in accordance with the Bank’s Records Management Policy.</w:t>
      </w:r>
    </w:p>
    <w:p w14:paraId="3142CBC3" w14:textId="77777777" w:rsidR="004A49B1" w:rsidRPr="004A49B1" w:rsidRDefault="004A49B1" w:rsidP="004A49B1">
      <w:r w:rsidRPr="004A49B1">
        <w:pict w14:anchorId="458E6C21">
          <v:rect id="_x0000_i1164" style="width:0;height:1.5pt" o:hralign="center" o:hrstd="t" o:hr="t" fillcolor="#a0a0a0" stroked="f"/>
        </w:pict>
      </w:r>
    </w:p>
    <w:p w14:paraId="6A8FB833" w14:textId="77777777" w:rsidR="004A49B1" w:rsidRPr="004A49B1" w:rsidRDefault="004A49B1" w:rsidP="004A49B1">
      <w:pPr>
        <w:rPr>
          <w:b/>
          <w:bCs/>
        </w:rPr>
      </w:pPr>
      <w:r w:rsidRPr="004A49B1">
        <w:rPr>
          <w:b/>
          <w:bCs/>
        </w:rPr>
        <w:t>15. Framework Ownership and Review</w:t>
      </w:r>
    </w:p>
    <w:p w14:paraId="269A7DDB" w14:textId="77777777" w:rsidR="004A49B1" w:rsidRPr="004A49B1" w:rsidRDefault="004A49B1" w:rsidP="004A49B1">
      <w:r w:rsidRPr="004A49B1">
        <w:t>This Framework is owned by the Chief Risk Officer.</w:t>
      </w:r>
    </w:p>
    <w:p w14:paraId="0FDB01AB" w14:textId="77777777" w:rsidR="004A49B1" w:rsidRPr="004A49B1" w:rsidRDefault="004A49B1" w:rsidP="004A49B1">
      <w:r w:rsidRPr="004A49B1">
        <w:t>The Framework will be reviewed at least annually or earlier where required due to:</w:t>
      </w:r>
    </w:p>
    <w:p w14:paraId="5FDBBF0E" w14:textId="77777777" w:rsidR="004A49B1" w:rsidRPr="004A49B1" w:rsidRDefault="004A49B1" w:rsidP="004A49B1">
      <w:pPr>
        <w:numPr>
          <w:ilvl w:val="0"/>
          <w:numId w:val="26"/>
        </w:numPr>
      </w:pPr>
      <w:r w:rsidRPr="004A49B1">
        <w:t>regulatory developments;</w:t>
      </w:r>
    </w:p>
    <w:p w14:paraId="0C3D764C" w14:textId="77777777" w:rsidR="004A49B1" w:rsidRPr="004A49B1" w:rsidRDefault="004A49B1" w:rsidP="004A49B1">
      <w:pPr>
        <w:numPr>
          <w:ilvl w:val="0"/>
          <w:numId w:val="26"/>
        </w:numPr>
      </w:pPr>
      <w:r w:rsidRPr="004A49B1">
        <w:t>material customer outcome concerns;</w:t>
      </w:r>
    </w:p>
    <w:p w14:paraId="2CEFFEE7" w14:textId="77777777" w:rsidR="004A49B1" w:rsidRPr="004A49B1" w:rsidRDefault="004A49B1" w:rsidP="004A49B1">
      <w:pPr>
        <w:numPr>
          <w:ilvl w:val="0"/>
          <w:numId w:val="26"/>
        </w:numPr>
      </w:pPr>
      <w:r w:rsidRPr="004A49B1">
        <w:t>significant conduct incidents;</w:t>
      </w:r>
    </w:p>
    <w:p w14:paraId="0E12ADBA" w14:textId="77777777" w:rsidR="004A49B1" w:rsidRPr="004A49B1" w:rsidRDefault="004A49B1" w:rsidP="004A49B1">
      <w:pPr>
        <w:numPr>
          <w:ilvl w:val="0"/>
          <w:numId w:val="26"/>
        </w:numPr>
      </w:pPr>
      <w:r w:rsidRPr="004A49B1">
        <w:t>changes to the Bank’s operating model; or</w:t>
      </w:r>
    </w:p>
    <w:p w14:paraId="7D9F68D2" w14:textId="77777777" w:rsidR="004A49B1" w:rsidRPr="004A49B1" w:rsidRDefault="004A49B1" w:rsidP="004A49B1">
      <w:pPr>
        <w:numPr>
          <w:ilvl w:val="0"/>
          <w:numId w:val="26"/>
        </w:numPr>
      </w:pPr>
      <w:r w:rsidRPr="004A49B1">
        <w:t>emerging conduct risk themes.</w:t>
      </w:r>
    </w:p>
    <w:p w14:paraId="67853F97" w14:textId="77777777" w:rsidR="004A49B1" w:rsidRPr="004A49B1" w:rsidRDefault="004A49B1" w:rsidP="004A49B1">
      <w:r w:rsidRPr="004A49B1">
        <w:t>Material amendments require approval by the Board Risk Committee.</w:t>
      </w:r>
    </w:p>
    <w:p w14:paraId="3A7C801B" w14:textId="77777777" w:rsidR="004A2552" w:rsidRDefault="004A2552"/>
    <w:sectPr w:rsidR="004A25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3B44"/>
    <w:multiLevelType w:val="multilevel"/>
    <w:tmpl w:val="BEBA9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F4AD0"/>
    <w:multiLevelType w:val="multilevel"/>
    <w:tmpl w:val="A33A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C6DFD"/>
    <w:multiLevelType w:val="multilevel"/>
    <w:tmpl w:val="BC70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150D07"/>
    <w:multiLevelType w:val="multilevel"/>
    <w:tmpl w:val="0C321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A310B7"/>
    <w:multiLevelType w:val="multilevel"/>
    <w:tmpl w:val="CD20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B16ADA"/>
    <w:multiLevelType w:val="multilevel"/>
    <w:tmpl w:val="FDFA0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B25C29"/>
    <w:multiLevelType w:val="multilevel"/>
    <w:tmpl w:val="BFCA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496788"/>
    <w:multiLevelType w:val="multilevel"/>
    <w:tmpl w:val="2B7A5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103157"/>
    <w:multiLevelType w:val="multilevel"/>
    <w:tmpl w:val="46D0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266A7F"/>
    <w:multiLevelType w:val="multilevel"/>
    <w:tmpl w:val="A026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7B2401"/>
    <w:multiLevelType w:val="multilevel"/>
    <w:tmpl w:val="D34E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6B512F"/>
    <w:multiLevelType w:val="multilevel"/>
    <w:tmpl w:val="5DF60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B277A8"/>
    <w:multiLevelType w:val="multilevel"/>
    <w:tmpl w:val="794C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A9241E"/>
    <w:multiLevelType w:val="multilevel"/>
    <w:tmpl w:val="B55A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386BAD"/>
    <w:multiLevelType w:val="multilevel"/>
    <w:tmpl w:val="497E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437A74"/>
    <w:multiLevelType w:val="multilevel"/>
    <w:tmpl w:val="2C30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2F592F"/>
    <w:multiLevelType w:val="multilevel"/>
    <w:tmpl w:val="62C0C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C07B15"/>
    <w:multiLevelType w:val="multilevel"/>
    <w:tmpl w:val="6EB6B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7A20BA"/>
    <w:multiLevelType w:val="multilevel"/>
    <w:tmpl w:val="71D2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BE764E"/>
    <w:multiLevelType w:val="multilevel"/>
    <w:tmpl w:val="DB5AA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16674B"/>
    <w:multiLevelType w:val="multilevel"/>
    <w:tmpl w:val="FAFC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8E67C3"/>
    <w:multiLevelType w:val="multilevel"/>
    <w:tmpl w:val="CAF00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855B03"/>
    <w:multiLevelType w:val="multilevel"/>
    <w:tmpl w:val="9760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B474FC"/>
    <w:multiLevelType w:val="multilevel"/>
    <w:tmpl w:val="59B6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407F57"/>
    <w:multiLevelType w:val="multilevel"/>
    <w:tmpl w:val="17B2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8A7605"/>
    <w:multiLevelType w:val="multilevel"/>
    <w:tmpl w:val="D7F4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2005933">
    <w:abstractNumId w:val="7"/>
  </w:num>
  <w:num w:numId="2" w16cid:durableId="721248756">
    <w:abstractNumId w:val="3"/>
  </w:num>
  <w:num w:numId="3" w16cid:durableId="1837114677">
    <w:abstractNumId w:val="2"/>
  </w:num>
  <w:num w:numId="4" w16cid:durableId="1215658423">
    <w:abstractNumId w:val="8"/>
  </w:num>
  <w:num w:numId="5" w16cid:durableId="2134711607">
    <w:abstractNumId w:val="6"/>
  </w:num>
  <w:num w:numId="6" w16cid:durableId="2067140440">
    <w:abstractNumId w:val="23"/>
  </w:num>
  <w:num w:numId="7" w16cid:durableId="1882090481">
    <w:abstractNumId w:val="13"/>
  </w:num>
  <w:num w:numId="8" w16cid:durableId="804389954">
    <w:abstractNumId w:val="17"/>
  </w:num>
  <w:num w:numId="9" w16cid:durableId="2082485229">
    <w:abstractNumId w:val="0"/>
  </w:num>
  <w:num w:numId="10" w16cid:durableId="1057894559">
    <w:abstractNumId w:val="11"/>
  </w:num>
  <w:num w:numId="11" w16cid:durableId="2017609779">
    <w:abstractNumId w:val="1"/>
  </w:num>
  <w:num w:numId="12" w16cid:durableId="2017338866">
    <w:abstractNumId w:val="5"/>
  </w:num>
  <w:num w:numId="13" w16cid:durableId="582035503">
    <w:abstractNumId w:val="25"/>
  </w:num>
  <w:num w:numId="14" w16cid:durableId="221915864">
    <w:abstractNumId w:val="14"/>
  </w:num>
  <w:num w:numId="15" w16cid:durableId="548342156">
    <w:abstractNumId w:val="19"/>
  </w:num>
  <w:num w:numId="16" w16cid:durableId="1583488711">
    <w:abstractNumId w:val="22"/>
  </w:num>
  <w:num w:numId="17" w16cid:durableId="17316365">
    <w:abstractNumId w:val="20"/>
  </w:num>
  <w:num w:numId="18" w16cid:durableId="2125031561">
    <w:abstractNumId w:val="12"/>
  </w:num>
  <w:num w:numId="19" w16cid:durableId="487596719">
    <w:abstractNumId w:val="4"/>
  </w:num>
  <w:num w:numId="20" w16cid:durableId="315114946">
    <w:abstractNumId w:val="16"/>
  </w:num>
  <w:num w:numId="21" w16cid:durableId="850410729">
    <w:abstractNumId w:val="18"/>
  </w:num>
  <w:num w:numId="22" w16cid:durableId="2088722709">
    <w:abstractNumId w:val="24"/>
  </w:num>
  <w:num w:numId="23" w16cid:durableId="473260551">
    <w:abstractNumId w:val="9"/>
  </w:num>
  <w:num w:numId="24" w16cid:durableId="808666475">
    <w:abstractNumId w:val="21"/>
  </w:num>
  <w:num w:numId="25" w16cid:durableId="883835722">
    <w:abstractNumId w:val="15"/>
  </w:num>
  <w:num w:numId="26" w16cid:durableId="6423452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552"/>
    <w:rsid w:val="004A2552"/>
    <w:rsid w:val="004A49B1"/>
    <w:rsid w:val="0080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7EED6"/>
  <w15:chartTrackingRefBased/>
  <w15:docId w15:val="{D786C25C-9D03-4FDD-8677-63889BD1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2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5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5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5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5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5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5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5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5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5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5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5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5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5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5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5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5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5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5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5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5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5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5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1331</Words>
  <Characters>9190</Characters>
  <Application>Microsoft Office Word</Application>
  <DocSecurity>0</DocSecurity>
  <Lines>296</Lines>
  <Paragraphs>269</Paragraphs>
  <ScaleCrop>false</ScaleCrop>
  <Company/>
  <LinksUpToDate>false</LinksUpToDate>
  <CharactersWithSpaces>10252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Horwitz</dc:creator>
  <cp:keywords/>
  <dc:description/>
  <cp:lastModifiedBy>Brandon Horwitz</cp:lastModifiedBy>
  <cp:revision>2</cp:revision>
  <dcterms:created xsi:type="dcterms:W3CDTF">2026-05-18T10:56:00Z</dcterms:created>
  <dcterms:modified xsi:type="dcterms:W3CDTF">2026-05-18T10:57:00Z</dcterms:modified>
</cp:coreProperties>
</file>